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blzattartalom"/>
        <w:spacing w:before="0" w:after="283"/>
        <w:jc w:val="center"/>
        <w:rPr>
          <w:rFonts w:ascii="Times New Roman" w:hAnsi="Times New Roman"/>
        </w:rPr>
      </w:pPr>
      <w:r>
        <w:rPr>
          <w:rFonts w:ascii="Times New Roman" w:hAnsi="Times New Roman"/>
          <w:b/>
          <w:bCs/>
        </w:rPr>
        <w:t>A közfeladatot ellátó szervre vonatkozó különös és egyedi közzétételi lista</w:t>
      </w:r>
    </w:p>
    <w:p>
      <w:pPr>
        <w:pStyle w:val="Tblzattartalom"/>
        <w:bidi w:val="0"/>
        <w:spacing w:before="0" w:after="283"/>
        <w:jc w:val="both"/>
        <w:rPr>
          <w:rFonts w:ascii="Times New Roman" w:hAnsi="Times New Roman"/>
        </w:rPr>
      </w:pPr>
      <w:r>
        <w:rPr>
          <w:rFonts w:ascii="Times New Roman" w:hAnsi="Times New Roman"/>
          <w:b w:val="false"/>
          <w:bCs w:val="false"/>
          <w:i w:val="false"/>
          <w:caps w:val="false"/>
          <w:smallCaps w:val="false"/>
          <w:color w:val="252525"/>
          <w:spacing w:val="0"/>
          <w:sz w:val="24"/>
        </w:rPr>
        <w:t>Az információs önrendelkezési jogról és az információszabadságról szóló 2011. évi CXII. törvény (a továbbiakban: Infotv.) 37. § (2) bekezdésének megfelelően önkormányzatunk különös közzétételi lista alapján teszi közzé az alábbi adatokat:</w:t>
      </w:r>
      <w:r>
        <w:rPr>
          <w:rFonts w:ascii="Times New Roman" w:hAnsi="Times New Roman"/>
          <w:b w:val="false"/>
          <w:bCs w:val="false"/>
          <w:color w:val="C9211E"/>
        </w:rPr>
        <w:t xml:space="preserve"> </w:t>
      </w:r>
    </w:p>
    <w:tbl>
      <w:tblPr>
        <w:tblW w:w="5000" w:type="pct"/>
        <w:jc w:val="left"/>
        <w:tblInd w:w="0" w:type="dxa"/>
        <w:tblLayout w:type="fixed"/>
        <w:tblCellMar>
          <w:top w:w="0" w:type="dxa"/>
          <w:left w:w="0" w:type="dxa"/>
          <w:bottom w:w="0" w:type="dxa"/>
          <w:right w:w="0" w:type="dxa"/>
        </w:tblCellMar>
      </w:tblPr>
      <w:tblGrid>
        <w:gridCol w:w="3212"/>
        <w:gridCol w:w="3213"/>
        <w:gridCol w:w="3213"/>
      </w:tblGrid>
      <w:tr>
        <w:trPr/>
        <w:tc>
          <w:tcPr>
            <w:tcW w:w="3212" w:type="dxa"/>
            <w:tcBorders/>
          </w:tcPr>
          <w:p>
            <w:pPr>
              <w:pStyle w:val="Tblzattartalom"/>
              <w:widowControl w:val="false"/>
              <w:jc w:val="center"/>
              <w:rPr>
                <w:rFonts w:ascii="Times New Roman" w:hAnsi="Times New Roman"/>
                <w:b/>
                <w:bCs/>
              </w:rPr>
            </w:pPr>
            <w:r>
              <w:rPr>
                <w:rFonts w:ascii="Times New Roman" w:hAnsi="Times New Roman"/>
                <w:b/>
                <w:bCs/>
              </w:rPr>
              <w:t>Közzéteendő adatok</w:t>
            </w:r>
          </w:p>
        </w:tc>
        <w:tc>
          <w:tcPr>
            <w:tcW w:w="3213" w:type="dxa"/>
            <w:tcBorders/>
          </w:tcPr>
          <w:p>
            <w:pPr>
              <w:pStyle w:val="Tblzattartalom"/>
              <w:widowControl w:val="false"/>
              <w:jc w:val="center"/>
              <w:rPr>
                <w:rFonts w:ascii="Times New Roman" w:hAnsi="Times New Roman"/>
                <w:b/>
                <w:bCs/>
              </w:rPr>
            </w:pPr>
            <w:r>
              <w:rPr>
                <w:rFonts w:ascii="Times New Roman" w:hAnsi="Times New Roman"/>
                <w:b/>
                <w:bCs/>
              </w:rPr>
              <w:t>Jogszabály</w:t>
            </w:r>
          </w:p>
        </w:tc>
        <w:tc>
          <w:tcPr>
            <w:tcW w:w="3213" w:type="dxa"/>
            <w:tcBorders/>
          </w:tcPr>
          <w:p>
            <w:pPr>
              <w:pStyle w:val="Tblzattartalom"/>
              <w:widowControl w:val="false"/>
              <w:jc w:val="center"/>
              <w:rPr>
                <w:rFonts w:ascii="Times New Roman" w:hAnsi="Times New Roman"/>
                <w:b/>
                <w:bCs/>
              </w:rPr>
            </w:pPr>
            <w:r>
              <w:rPr>
                <w:rFonts w:ascii="Times New Roman" w:hAnsi="Times New Roman"/>
                <w:b/>
                <w:bCs/>
              </w:rPr>
              <w:t>Felelős</w:t>
            </w:r>
          </w:p>
        </w:tc>
      </w:tr>
      <w:tr>
        <w:trPr/>
        <w:tc>
          <w:tcPr>
            <w:tcW w:w="3212" w:type="dxa"/>
            <w:tcBorders/>
          </w:tcPr>
          <w:p>
            <w:pPr>
              <w:pStyle w:val="Tblzattartalom"/>
              <w:widowControl w:val="false"/>
              <w:jc w:val="center"/>
              <w:rPr>
                <w:rFonts w:ascii="Times New Roman" w:hAnsi="Times New Roman"/>
              </w:rPr>
            </w:pPr>
            <w:r>
              <w:rPr>
                <w:rFonts w:ascii="Times New Roman" w:hAnsi="Times New Roman"/>
                <w:b w:val="false"/>
                <w:i w:val="false"/>
                <w:caps w:val="false"/>
                <w:smallCaps w:val="false"/>
                <w:color w:val="252525"/>
                <w:spacing w:val="0"/>
                <w:sz w:val="24"/>
              </w:rPr>
              <w:t>Az önkormányzat által megalkotott rendeletek</w:t>
            </w:r>
          </w:p>
        </w:tc>
        <w:tc>
          <w:tcPr>
            <w:tcW w:w="3213" w:type="dxa"/>
            <w:tcBorders/>
          </w:tcPr>
          <w:p>
            <w:pPr>
              <w:pStyle w:val="Szvegtrzs"/>
              <w:widowControl w:val="false"/>
              <w:spacing w:before="0" w:after="140"/>
              <w:jc w:val="center"/>
              <w:rPr>
                <w:rFonts w:ascii="Times New Roman" w:hAnsi="Times New Roman"/>
                <w:color w:val="000000"/>
              </w:rPr>
            </w:pPr>
            <w:r>
              <w:rPr>
                <w:rFonts w:ascii="Times New Roman" w:hAnsi="Times New Roman"/>
                <w:strike w:val="false"/>
                <w:dstrike w:val="false"/>
                <w:color w:val="000000"/>
                <w:u w:val="none"/>
                <w:effect w:val="none"/>
              </w:rPr>
              <w:t>Magyarország helyi önkormányzatairól szóló 2011. évi CLXXXIX. törvény (a továbbiakban: Mötv.) 51. § (2) bekezdése</w:t>
            </w:r>
          </w:p>
        </w:tc>
        <w:tc>
          <w:tcPr>
            <w:tcW w:w="3213" w:type="dxa"/>
            <w:tcBorders/>
          </w:tcPr>
          <w:p>
            <w:pPr>
              <w:pStyle w:val="Tblzattartalom"/>
              <w:widowControl w:val="false"/>
              <w:jc w:val="center"/>
              <w:rPr>
                <w:rFonts w:ascii="Times New Roman" w:hAnsi="Times New Roman"/>
              </w:rPr>
            </w:pPr>
            <w:r>
              <w:rPr>
                <w:rFonts w:ascii="Times New Roman" w:hAnsi="Times New Roman"/>
              </w:rPr>
              <w:t>jegyző</w:t>
            </w:r>
          </w:p>
        </w:tc>
      </w:tr>
      <w:tr>
        <w:trPr/>
        <w:tc>
          <w:tcPr>
            <w:tcW w:w="3212" w:type="dxa"/>
            <w:tcBorders/>
          </w:tcPr>
          <w:p>
            <w:pPr>
              <w:pStyle w:val="Tblzattartalom"/>
              <w:widowControl w:val="false"/>
              <w:jc w:val="center"/>
              <w:rPr>
                <w:rFonts w:ascii="Times New Roman" w:hAnsi="Times New Roman"/>
              </w:rPr>
            </w:pPr>
            <w:r>
              <w:rPr>
                <w:rFonts w:ascii="Times New Roman" w:hAnsi="Times New Roman"/>
                <w:b w:val="false"/>
                <w:i w:val="false"/>
                <w:caps w:val="false"/>
                <w:smallCaps w:val="false"/>
                <w:color w:val="252525"/>
                <w:spacing w:val="0"/>
                <w:sz w:val="24"/>
              </w:rPr>
              <w:t>Az önkormányzat képviselő-testülete által meghozott normatív határozatok</w:t>
            </w:r>
          </w:p>
        </w:tc>
        <w:tc>
          <w:tcPr>
            <w:tcW w:w="3213" w:type="dxa"/>
            <w:tcBorders/>
          </w:tcPr>
          <w:p>
            <w:pPr>
              <w:pStyle w:val="Szvegtrzs"/>
              <w:widowControl w:val="false"/>
              <w:jc w:val="center"/>
              <w:rPr>
                <w:rFonts w:ascii="Times New Roman" w:hAnsi="Times New Roman"/>
              </w:rPr>
            </w:pPr>
            <w:r>
              <w:rPr>
                <w:rFonts w:ascii="Times New Roman" w:hAnsi="Times New Roman"/>
                <w:strike w:val="false"/>
                <w:dstrike w:val="false"/>
                <w:color w:val="0345BF"/>
                <w:u w:val="none"/>
                <w:effect w:val="none"/>
              </w:rPr>
              <w:br/>
            </w:r>
            <w:r>
              <w:rPr>
                <w:rFonts w:ascii="Times New Roman" w:hAnsi="Times New Roman"/>
                <w:strike w:val="false"/>
                <w:dstrike w:val="false"/>
                <w:color w:val="000000"/>
                <w:u w:val="none"/>
                <w:effect w:val="none"/>
              </w:rPr>
              <w:t>Mötv. 51. § (6) bekezdése</w:t>
            </w:r>
          </w:p>
          <w:p>
            <w:pPr>
              <w:pStyle w:val="Tblzattartalom"/>
              <w:widowControl w:val="false"/>
              <w:jc w:val="center"/>
              <w:rPr>
                <w:rFonts w:ascii="Times New Roman" w:hAnsi="Times New Roman"/>
              </w:rPr>
            </w:pPr>
            <w:r>
              <w:rPr>
                <w:rFonts w:ascii="Times New Roman" w:hAnsi="Times New Roman"/>
              </w:rPr>
            </w:r>
          </w:p>
        </w:tc>
        <w:tc>
          <w:tcPr>
            <w:tcW w:w="3213" w:type="dxa"/>
            <w:tcBorders/>
          </w:tcPr>
          <w:p>
            <w:pPr>
              <w:pStyle w:val="Tblzattartalom"/>
              <w:widowControl w:val="false"/>
              <w:jc w:val="center"/>
              <w:rPr>
                <w:rFonts w:ascii="Times New Roman" w:hAnsi="Times New Roman"/>
              </w:rPr>
            </w:pPr>
            <w:r>
              <w:rPr>
                <w:rFonts w:ascii="Times New Roman" w:hAnsi="Times New Roman"/>
              </w:rPr>
              <w:t>jegyző</w:t>
            </w:r>
          </w:p>
        </w:tc>
      </w:tr>
      <w:tr>
        <w:trPr/>
        <w:tc>
          <w:tcPr>
            <w:tcW w:w="3212" w:type="dxa"/>
            <w:tcBorders/>
          </w:tcPr>
          <w:p>
            <w:pPr>
              <w:pStyle w:val="Tblzattartalom"/>
              <w:widowControl w:val="false"/>
              <w:jc w:val="center"/>
              <w:rPr>
                <w:rFonts w:ascii="Times New Roman" w:hAnsi="Times New Roman"/>
              </w:rPr>
            </w:pPr>
            <w:r>
              <w:rPr>
                <w:rFonts w:ascii="Times New Roman" w:hAnsi="Times New Roman"/>
                <w:b w:val="false"/>
                <w:i w:val="false"/>
                <w:caps w:val="false"/>
                <w:smallCaps w:val="false"/>
                <w:color w:val="252525"/>
                <w:spacing w:val="0"/>
                <w:sz w:val="24"/>
              </w:rPr>
              <w:t>Az önkormányzat költségvetési, a költségvetés teljesítési és szakmai tevékenységének bemutatására, értékelésére vonatkozó adatainak jogszabályban meghatározott köre.</w:t>
            </w:r>
          </w:p>
        </w:tc>
        <w:tc>
          <w:tcPr>
            <w:tcW w:w="3213" w:type="dxa"/>
            <w:tcBorders/>
          </w:tcPr>
          <w:p>
            <w:pPr>
              <w:pStyle w:val="Tblzattartalom"/>
              <w:widowControl w:val="false"/>
              <w:jc w:val="center"/>
              <w:rPr>
                <w:rFonts w:ascii="Times New Roman" w:hAnsi="Times New Roman"/>
                <w:color w:val="000000"/>
              </w:rPr>
            </w:pPr>
            <w:r>
              <w:rPr>
                <w:rFonts w:ascii="Times New Roman" w:hAnsi="Times New Roman"/>
                <w:b w:val="false"/>
                <w:i w:val="false"/>
                <w:caps w:val="false"/>
                <w:smallCaps w:val="false"/>
                <w:strike w:val="false"/>
                <w:dstrike w:val="false"/>
                <w:color w:val="000000"/>
                <w:spacing w:val="0"/>
                <w:sz w:val="24"/>
                <w:u w:val="none"/>
                <w:effect w:val="none"/>
              </w:rPr>
              <w:t>Mötv. 113. §</w:t>
            </w:r>
          </w:p>
        </w:tc>
        <w:tc>
          <w:tcPr>
            <w:tcW w:w="3213" w:type="dxa"/>
            <w:tcBorders/>
          </w:tcPr>
          <w:p>
            <w:pPr>
              <w:pStyle w:val="Tblzattartalom"/>
              <w:widowControl w:val="false"/>
              <w:jc w:val="center"/>
              <w:rPr>
                <w:rFonts w:ascii="Times New Roman" w:hAnsi="Times New Roman"/>
              </w:rPr>
            </w:pPr>
            <w:r>
              <w:rPr>
                <w:rFonts w:ascii="Times New Roman" w:hAnsi="Times New Roman"/>
                <w:b w:val="false"/>
                <w:i w:val="false"/>
                <w:caps w:val="false"/>
                <w:smallCaps w:val="false"/>
                <w:color w:val="252525"/>
                <w:spacing w:val="0"/>
                <w:sz w:val="24"/>
              </w:rPr>
              <w:t>Jegyző</w:t>
            </w:r>
          </w:p>
        </w:tc>
      </w:tr>
      <w:tr>
        <w:trPr/>
        <w:tc>
          <w:tcPr>
            <w:tcW w:w="3212" w:type="dxa"/>
            <w:tcBorders/>
          </w:tcPr>
          <w:p>
            <w:pPr>
              <w:pStyle w:val="Tblzattartalom"/>
              <w:widowControl w:val="false"/>
              <w:jc w:val="center"/>
              <w:rPr>
                <w:rFonts w:ascii="Times New Roman" w:hAnsi="Times New Roman"/>
              </w:rPr>
            </w:pPr>
            <w:r>
              <w:rPr>
                <w:rFonts w:ascii="Times New Roman" w:hAnsi="Times New Roman"/>
                <w:b w:val="false"/>
                <w:i w:val="false"/>
                <w:caps w:val="false"/>
                <w:smallCaps w:val="false"/>
                <w:color w:val="252525"/>
                <w:spacing w:val="0"/>
                <w:sz w:val="24"/>
              </w:rPr>
              <w:t>Az önkormányzat képviselő-testülete által megalkotott adórendelet szövege, az adórendelet módosításokkal egységes szerkezetbe foglalt szövege, valamint a rendszeresített bevallási, adatbejelentési, bejelentkezési nyomtatványok, az elérhetőségi információk</w:t>
            </w:r>
          </w:p>
        </w:tc>
        <w:tc>
          <w:tcPr>
            <w:tcW w:w="3213" w:type="dxa"/>
            <w:tcBorders/>
          </w:tcPr>
          <w:p>
            <w:pPr>
              <w:pStyle w:val="Tblzattartalom"/>
              <w:widowControl w:val="false"/>
              <w:jc w:val="center"/>
              <w:rPr>
                <w:rFonts w:ascii="Times New Roman" w:hAnsi="Times New Roman"/>
                <w:color w:val="000000"/>
              </w:rPr>
            </w:pPr>
            <w:r>
              <w:rPr>
                <w:rFonts w:ascii="Times New Roman" w:hAnsi="Times New Roman"/>
                <w:b w:val="false"/>
                <w:i w:val="false"/>
                <w:caps w:val="false"/>
                <w:smallCaps w:val="false"/>
                <w:strike w:val="false"/>
                <w:dstrike w:val="false"/>
                <w:color w:val="000000"/>
                <w:spacing w:val="0"/>
                <w:sz w:val="24"/>
                <w:u w:val="none"/>
                <w:effect w:val="none"/>
              </w:rPr>
              <w:t>A helyi adókról szóló 1990. évi C. törvény 42/B. § (3) bekezdése</w:t>
            </w:r>
          </w:p>
        </w:tc>
        <w:tc>
          <w:tcPr>
            <w:tcW w:w="3213" w:type="dxa"/>
            <w:tcBorders/>
          </w:tcPr>
          <w:p>
            <w:pPr>
              <w:pStyle w:val="Szvegtrzs"/>
              <w:widowControl w:val="false"/>
              <w:jc w:val="center"/>
              <w:rPr>
                <w:rFonts w:ascii="Times New Roman" w:hAnsi="Times New Roman"/>
              </w:rPr>
            </w:pPr>
            <w:r>
              <w:rPr>
                <w:rFonts w:ascii="Times New Roman" w:hAnsi="Times New Roman"/>
              </w:rPr>
              <w:br/>
              <w:t>Jegyző</w:t>
            </w:r>
          </w:p>
          <w:p>
            <w:pPr>
              <w:pStyle w:val="Tblzattartalom"/>
              <w:widowControl w:val="false"/>
              <w:jc w:val="center"/>
              <w:rPr>
                <w:rFonts w:ascii="Times New Roman" w:hAnsi="Times New Roman"/>
              </w:rPr>
            </w:pPr>
            <w:r>
              <w:rPr>
                <w:rFonts w:ascii="Times New Roman" w:hAnsi="Times New Roman"/>
              </w:rPr>
            </w:r>
          </w:p>
        </w:tc>
      </w:tr>
      <w:tr>
        <w:trPr/>
        <w:tc>
          <w:tcPr>
            <w:tcW w:w="3212" w:type="dxa"/>
            <w:tcBorders/>
          </w:tcPr>
          <w:p>
            <w:pPr>
              <w:pStyle w:val="Szvegtrzs"/>
              <w:widowControl w:val="false"/>
              <w:jc w:val="center"/>
              <w:rPr>
                <w:rFonts w:ascii="Times New Roman" w:hAnsi="Times New Roman"/>
              </w:rPr>
            </w:pPr>
            <w:r>
              <w:rPr>
                <w:rFonts w:ascii="Times New Roman" w:hAnsi="Times New Roman"/>
              </w:rPr>
              <w:br/>
              <w:t>A 280/2004 (X. 20.) Korm. rendelet szerinti intézkedési tervet megalapozó, elfogadott, az adott területre vonatkozó stratégiai zajtérképek megtekintésének lehetősége (helye, ideje), az intézkedési tervjavaslat tartalma, valamint az abban foglalt célok, az intézkedési tervjavaslattal kapcsolatos vélemények fogadására szolgáló postai és elektronikus levélcím, a lakosságnak szóló nyilvános konzultáció tartása esetén annak időpontja</w:t>
            </w:r>
          </w:p>
          <w:p>
            <w:pPr>
              <w:pStyle w:val="Tblzattartalom"/>
              <w:widowControl w:val="false"/>
              <w:jc w:val="center"/>
              <w:rPr>
                <w:rFonts w:ascii="Times New Roman" w:hAnsi="Times New Roman"/>
              </w:rPr>
            </w:pPr>
            <w:r>
              <w:rPr>
                <w:rFonts w:ascii="Times New Roman" w:hAnsi="Times New Roman"/>
              </w:rPr>
            </w:r>
          </w:p>
        </w:tc>
        <w:tc>
          <w:tcPr>
            <w:tcW w:w="3213" w:type="dxa"/>
            <w:tcBorders/>
          </w:tcPr>
          <w:p>
            <w:pPr>
              <w:pStyle w:val="Szvegtrzs"/>
              <w:widowControl w:val="false"/>
              <w:jc w:val="center"/>
              <w:rPr>
                <w:rFonts w:ascii="Times New Roman" w:hAnsi="Times New Roman"/>
                <w:color w:val="000000"/>
              </w:rPr>
            </w:pPr>
            <w:r>
              <w:rPr>
                <w:rFonts w:ascii="Times New Roman" w:hAnsi="Times New Roman"/>
                <w:b w:val="false"/>
                <w:i w:val="false"/>
                <w:caps w:val="false"/>
                <w:smallCaps w:val="false"/>
                <w:strike w:val="false"/>
                <w:dstrike w:val="false"/>
                <w:color w:val="000000"/>
                <w:spacing w:val="0"/>
                <w:sz w:val="24"/>
                <w:u w:val="none"/>
                <w:effect w:val="none"/>
              </w:rPr>
              <w:t>A környezet védelmének általános szabályairól szóló 1995. évi LIII. törvény 12. § (3) bekezdése;</w:t>
            </w:r>
          </w:p>
          <w:p>
            <w:pPr>
              <w:pStyle w:val="Szvegtrzs"/>
              <w:widowControl w:val="false"/>
              <w:spacing w:before="0" w:after="140"/>
              <w:ind w:left="0" w:right="0" w:hanging="0"/>
              <w:rPr>
                <w:rFonts w:ascii="Times New Roman" w:hAnsi="Times New Roman"/>
                <w:color w:val="000000"/>
              </w:rPr>
            </w:pPr>
            <w:r>
              <w:rPr>
                <w:rFonts w:ascii="Times New Roman" w:hAnsi="Times New Roman"/>
                <w:b w:val="false"/>
                <w:i w:val="false"/>
                <w:caps w:val="false"/>
                <w:smallCaps w:val="false"/>
                <w:strike w:val="false"/>
                <w:dstrike w:val="false"/>
                <w:color w:val="000000"/>
                <w:spacing w:val="0"/>
                <w:sz w:val="24"/>
                <w:u w:val="none"/>
                <w:effect w:val="none"/>
              </w:rPr>
              <w:t>A nyilvánosság környezeti információkhoz való hozzáférésének rendjéről szóló 311/2005. (XII. 25.) Korm. rendelet 4. §;</w:t>
            </w:r>
          </w:p>
          <w:p>
            <w:pPr>
              <w:pStyle w:val="Szvegtrzs"/>
              <w:widowControl w:val="false"/>
              <w:spacing w:before="0" w:after="140"/>
              <w:ind w:left="0" w:right="0" w:hanging="0"/>
              <w:rPr>
                <w:rFonts w:ascii="Times New Roman" w:hAnsi="Times New Roman"/>
              </w:rPr>
            </w:pPr>
            <w:r>
              <w:rPr>
                <w:rFonts w:ascii="Times New Roman" w:hAnsi="Times New Roman"/>
                <w:b w:val="false"/>
                <w:i w:val="false"/>
                <w:caps w:val="false"/>
                <w:smallCaps w:val="false"/>
                <w:strike w:val="false"/>
                <w:dstrike w:val="false"/>
                <w:color w:val="000000"/>
                <w:spacing w:val="0"/>
                <w:sz w:val="24"/>
                <w:u w:val="none"/>
                <w:effect w:val="none"/>
              </w:rPr>
              <w:t>A környezeti zaj értékeléséről és kezeléséről szóló 280/2004. (X. 20.) Korm. rendelet 10. § (5)-(6)</w:t>
            </w:r>
            <w:r>
              <w:rPr>
                <w:rFonts w:ascii="Times New Roman" w:hAnsi="Times New Roman"/>
                <w:b w:val="false"/>
                <w:i w:val="false"/>
                <w:caps w:val="false"/>
                <w:smallCaps w:val="false"/>
                <w:strike w:val="false"/>
                <w:dstrike w:val="false"/>
                <w:color w:val="0345BF"/>
                <w:spacing w:val="0"/>
                <w:sz w:val="24"/>
                <w:u w:val="none"/>
                <w:effect w:val="none"/>
              </w:rPr>
              <w:t xml:space="preserve"> </w:t>
            </w:r>
            <w:r>
              <w:rPr>
                <w:rFonts w:ascii="Times New Roman" w:hAnsi="Times New Roman"/>
                <w:b w:val="false"/>
                <w:i w:val="false"/>
                <w:caps w:val="false"/>
                <w:smallCaps w:val="false"/>
                <w:strike w:val="false"/>
                <w:dstrike w:val="false"/>
                <w:color w:val="000000"/>
                <w:spacing w:val="0"/>
                <w:sz w:val="24"/>
                <w:u w:val="none"/>
                <w:effect w:val="none"/>
              </w:rPr>
              <w:t>bekezdései</w:t>
            </w:r>
          </w:p>
          <w:p>
            <w:pPr>
              <w:pStyle w:val="Tblzattartalom"/>
              <w:widowControl w:val="false"/>
              <w:jc w:val="center"/>
              <w:rPr>
                <w:rFonts w:ascii="Times New Roman" w:hAnsi="Times New Roman"/>
              </w:rPr>
            </w:pPr>
            <w:r>
              <w:rPr>
                <w:rFonts w:ascii="Times New Roman" w:hAnsi="Times New Roman"/>
              </w:rPr>
            </w:r>
          </w:p>
        </w:tc>
        <w:tc>
          <w:tcPr>
            <w:tcW w:w="3213" w:type="dxa"/>
            <w:tcBorders/>
          </w:tcPr>
          <w:p>
            <w:pPr>
              <w:pStyle w:val="Tblzattartalom"/>
              <w:widowControl w:val="false"/>
              <w:jc w:val="center"/>
              <w:rPr>
                <w:rFonts w:ascii="Times New Roman" w:hAnsi="Times New Roman"/>
              </w:rPr>
            </w:pPr>
            <w:r>
              <w:rPr>
                <w:rFonts w:ascii="Times New Roman" w:hAnsi="Times New Roman"/>
              </w:rPr>
              <w:t>jegyző</w:t>
            </w:r>
          </w:p>
        </w:tc>
      </w:tr>
      <w:tr>
        <w:trPr/>
        <w:tc>
          <w:tcPr>
            <w:tcW w:w="3212" w:type="dxa"/>
            <w:tcBorders/>
          </w:tcPr>
          <w:p>
            <w:pPr>
              <w:pStyle w:val="Tblzattartalom"/>
              <w:widowControl w:val="false"/>
              <w:jc w:val="center"/>
              <w:rPr>
                <w:rFonts w:ascii="Times New Roman" w:hAnsi="Times New Roman"/>
              </w:rPr>
            </w:pPr>
            <w:r>
              <w:rPr>
                <w:rFonts w:ascii="Times New Roman" w:hAnsi="Times New Roman"/>
                <w:b w:val="false"/>
                <w:i w:val="false"/>
                <w:caps w:val="false"/>
                <w:smallCaps w:val="false"/>
                <w:color w:val="252525"/>
                <w:spacing w:val="0"/>
                <w:sz w:val="24"/>
              </w:rPr>
              <w:t>A szálláshely-szolgáltatási tevékenységet folytatókról vezetett nyilvántartás</w:t>
            </w:r>
          </w:p>
        </w:tc>
        <w:tc>
          <w:tcPr>
            <w:tcW w:w="3213" w:type="dxa"/>
            <w:tcBorders/>
          </w:tcPr>
          <w:p>
            <w:pPr>
              <w:pStyle w:val="Tblzattartalom"/>
              <w:widowControl w:val="false"/>
              <w:jc w:val="center"/>
              <w:rPr>
                <w:rFonts w:ascii="Times New Roman" w:hAnsi="Times New Roman"/>
                <w:color w:val="000000"/>
              </w:rPr>
            </w:pPr>
            <w:r>
              <w:rPr>
                <w:rFonts w:ascii="Times New Roman" w:hAnsi="Times New Roman"/>
                <w:b w:val="false"/>
                <w:i w:val="false"/>
                <w:caps w:val="false"/>
                <w:smallCaps w:val="false"/>
                <w:strike w:val="false"/>
                <w:dstrike w:val="false"/>
                <w:color w:val="000000"/>
                <w:spacing w:val="0"/>
                <w:sz w:val="24"/>
                <w:u w:val="none"/>
                <w:effect w:val="none"/>
              </w:rPr>
              <w:t>A szálláshely-szolgáltatási tevékenység folytatásának részletes feltételeiről és a</w:t>
            </w:r>
            <w:r>
              <w:rPr>
                <w:rFonts w:ascii="Times New Roman" w:hAnsi="Times New Roman"/>
                <w:caps w:val="false"/>
                <w:smallCaps w:val="false"/>
                <w:color w:val="000000"/>
                <w:spacing w:val="0"/>
              </w:rPr>
              <w:t> </w:t>
            </w:r>
            <w:r>
              <w:rPr>
                <w:rFonts w:ascii="Times New Roman" w:hAnsi="Times New Roman"/>
                <w:b w:val="false"/>
                <w:i w:val="false"/>
                <w:caps w:val="false"/>
                <w:smallCaps w:val="false"/>
                <w:strike w:val="false"/>
                <w:dstrike w:val="false"/>
                <w:color w:val="000000"/>
                <w:spacing w:val="0"/>
                <w:sz w:val="24"/>
                <w:u w:val="none"/>
                <w:effect w:val="none"/>
              </w:rPr>
              <w:t>szálláshely-üzemeltetési engedély kiadásának rendjéről szóló 239/2009. (X.20.) Korm. rendelet 12. § (2) bekezdése</w:t>
            </w:r>
          </w:p>
        </w:tc>
        <w:tc>
          <w:tcPr>
            <w:tcW w:w="3213" w:type="dxa"/>
            <w:tcBorders/>
          </w:tcPr>
          <w:p>
            <w:pPr>
              <w:pStyle w:val="Tblzattartalom"/>
              <w:widowControl w:val="false"/>
              <w:jc w:val="center"/>
              <w:rPr>
                <w:rFonts w:ascii="Times New Roman" w:hAnsi="Times New Roman"/>
              </w:rPr>
            </w:pPr>
            <w:r>
              <w:rPr>
                <w:rFonts w:ascii="Times New Roman" w:hAnsi="Times New Roman"/>
                <w:b w:val="false"/>
                <w:i w:val="false"/>
                <w:caps w:val="false"/>
                <w:smallCaps w:val="false"/>
                <w:color w:val="252525"/>
                <w:spacing w:val="0"/>
                <w:sz w:val="24"/>
              </w:rPr>
              <w:t>Jegyző</w:t>
            </w:r>
          </w:p>
        </w:tc>
      </w:tr>
      <w:tr>
        <w:trPr/>
        <w:tc>
          <w:tcPr>
            <w:tcW w:w="3212" w:type="dxa"/>
            <w:tcBorders/>
          </w:tcPr>
          <w:p>
            <w:pPr>
              <w:pStyle w:val="Tblzattartalom"/>
              <w:widowControl w:val="false"/>
              <w:jc w:val="center"/>
              <w:rPr>
                <w:rFonts w:ascii="Times New Roman" w:hAnsi="Times New Roman"/>
              </w:rPr>
            </w:pPr>
            <w:r>
              <w:rPr>
                <w:rFonts w:ascii="Times New Roman" w:hAnsi="Times New Roman"/>
                <w:b w:val="false"/>
                <w:i w:val="false"/>
                <w:caps w:val="false"/>
                <w:smallCaps w:val="false"/>
                <w:color w:val="252525"/>
                <w:spacing w:val="0"/>
                <w:sz w:val="24"/>
              </w:rPr>
              <w:t>A közterületen elhelyezett képfelvevők elhelyezésének ténye, és a képfelvevők által megfigyelt közterület.</w:t>
            </w:r>
          </w:p>
        </w:tc>
        <w:tc>
          <w:tcPr>
            <w:tcW w:w="3213" w:type="dxa"/>
            <w:tcBorders/>
          </w:tcPr>
          <w:p>
            <w:pPr>
              <w:pStyle w:val="Tblzattartalom"/>
              <w:widowControl w:val="false"/>
              <w:jc w:val="center"/>
              <w:rPr>
                <w:rFonts w:ascii="Times New Roman" w:hAnsi="Times New Roman"/>
                <w:color w:val="000000"/>
              </w:rPr>
            </w:pPr>
            <w:r>
              <w:rPr>
                <w:rFonts w:ascii="Times New Roman" w:hAnsi="Times New Roman"/>
                <w:b w:val="false"/>
                <w:i w:val="false"/>
                <w:caps w:val="false"/>
                <w:smallCaps w:val="false"/>
                <w:strike w:val="false"/>
                <w:dstrike w:val="false"/>
                <w:color w:val="000000"/>
                <w:spacing w:val="0"/>
                <w:sz w:val="24"/>
                <w:u w:val="none"/>
                <w:effect w:val="none"/>
              </w:rPr>
              <w:t>A közterület-felügyeletről szóló 1999. évi LXIII. törvény 7. § (4) bekezdése</w:t>
            </w:r>
          </w:p>
        </w:tc>
        <w:tc>
          <w:tcPr>
            <w:tcW w:w="3213" w:type="dxa"/>
            <w:tcBorders/>
          </w:tcPr>
          <w:p>
            <w:pPr>
              <w:pStyle w:val="Tblzattartalom"/>
              <w:widowControl w:val="false"/>
              <w:jc w:val="center"/>
              <w:rPr>
                <w:rFonts w:ascii="Times New Roman" w:hAnsi="Times New Roman"/>
              </w:rPr>
            </w:pPr>
            <w:r>
              <w:rPr>
                <w:rFonts w:ascii="Times New Roman" w:hAnsi="Times New Roman"/>
              </w:rPr>
              <w:t>jegyző</w:t>
            </w:r>
          </w:p>
        </w:tc>
      </w:tr>
      <w:tr>
        <w:trPr/>
        <w:tc>
          <w:tcPr>
            <w:tcW w:w="3212" w:type="dxa"/>
            <w:tcBorders/>
          </w:tcPr>
          <w:p>
            <w:pPr>
              <w:pStyle w:val="Tblzattartalom"/>
              <w:widowControl w:val="false"/>
              <w:jc w:val="center"/>
              <w:rPr>
                <w:rFonts w:ascii="Times New Roman" w:hAnsi="Times New Roman"/>
              </w:rPr>
            </w:pPr>
            <w:r>
              <w:rPr>
                <w:rFonts w:ascii="Times New Roman" w:hAnsi="Times New Roman"/>
                <w:b w:val="false"/>
                <w:i w:val="false"/>
                <w:caps w:val="false"/>
                <w:smallCaps w:val="false"/>
                <w:color w:val="252525"/>
                <w:spacing w:val="0"/>
                <w:sz w:val="24"/>
              </w:rPr>
              <w:t>Az elszállított járművek, melyeket a helyi közúton közterület-használati engedély nélkül tároltak, illetve a hatósági jelzéssel nem rendelkező azon járművek, amely a közúti forgalomban csak ilyen jelzéssel vehetnek részt.</w:t>
            </w:r>
          </w:p>
        </w:tc>
        <w:tc>
          <w:tcPr>
            <w:tcW w:w="3213" w:type="dxa"/>
            <w:tcBorders/>
          </w:tcPr>
          <w:p>
            <w:pPr>
              <w:pStyle w:val="Tblzattartalom"/>
              <w:widowControl w:val="false"/>
              <w:jc w:val="center"/>
              <w:rPr>
                <w:rFonts w:ascii="Times New Roman" w:hAnsi="Times New Roman"/>
                <w:color w:val="000000"/>
              </w:rPr>
            </w:pPr>
            <w:r>
              <w:rPr>
                <w:rFonts w:ascii="Times New Roman" w:hAnsi="Times New Roman"/>
                <w:b w:val="false"/>
                <w:i w:val="false"/>
                <w:caps w:val="false"/>
                <w:smallCaps w:val="false"/>
                <w:strike w:val="false"/>
                <w:dstrike w:val="false"/>
                <w:color w:val="000000"/>
                <w:spacing w:val="0"/>
                <w:sz w:val="24"/>
                <w:u w:val="none"/>
                <w:effect w:val="none"/>
              </w:rPr>
              <w:t>A közterület-felügyeletről szóló 1999. évi LXIII. törvény 20. §</w:t>
            </w:r>
          </w:p>
        </w:tc>
        <w:tc>
          <w:tcPr>
            <w:tcW w:w="3213" w:type="dxa"/>
            <w:tcBorders/>
          </w:tcPr>
          <w:p>
            <w:pPr>
              <w:pStyle w:val="Tblzattartalom"/>
              <w:widowControl w:val="false"/>
              <w:jc w:val="center"/>
              <w:rPr>
                <w:rFonts w:ascii="Times New Roman" w:hAnsi="Times New Roman"/>
              </w:rPr>
            </w:pPr>
            <w:r>
              <w:rPr>
                <w:rFonts w:ascii="Times New Roman" w:hAnsi="Times New Roman"/>
              </w:rPr>
              <w:t>jegyző</w:t>
            </w:r>
          </w:p>
        </w:tc>
      </w:tr>
      <w:tr>
        <w:trPr/>
        <w:tc>
          <w:tcPr>
            <w:tcW w:w="3212" w:type="dxa"/>
            <w:tcBorders/>
          </w:tcPr>
          <w:p>
            <w:pPr>
              <w:pStyle w:val="Tblzattartalom"/>
              <w:widowControl w:val="false"/>
              <w:jc w:val="center"/>
              <w:rPr>
                <w:rFonts w:ascii="Times New Roman" w:hAnsi="Times New Roman"/>
              </w:rPr>
            </w:pPr>
            <w:r>
              <w:rPr>
                <w:rFonts w:ascii="Times New Roman" w:hAnsi="Times New Roman"/>
                <w:b w:val="false"/>
                <w:i w:val="false"/>
                <w:caps w:val="false"/>
                <w:smallCaps w:val="false"/>
                <w:color w:val="252525"/>
                <w:spacing w:val="0"/>
                <w:sz w:val="24"/>
              </w:rPr>
              <w:t>A jegyző által engedélyezett zenés, táncos rendezvények nyilvántartása</w:t>
            </w:r>
          </w:p>
        </w:tc>
        <w:tc>
          <w:tcPr>
            <w:tcW w:w="3213" w:type="dxa"/>
            <w:tcBorders/>
          </w:tcPr>
          <w:p>
            <w:pPr>
              <w:pStyle w:val="Tblzattartalom"/>
              <w:widowControl w:val="false"/>
              <w:jc w:val="center"/>
              <w:rPr>
                <w:rFonts w:ascii="Times New Roman" w:hAnsi="Times New Roman"/>
                <w:color w:val="000000"/>
              </w:rPr>
            </w:pPr>
            <w:r>
              <w:rPr>
                <w:rFonts w:ascii="Times New Roman" w:hAnsi="Times New Roman"/>
                <w:b w:val="false"/>
                <w:i w:val="false"/>
                <w:caps w:val="false"/>
                <w:smallCaps w:val="false"/>
                <w:strike w:val="false"/>
                <w:dstrike w:val="false"/>
                <w:color w:val="000000"/>
                <w:spacing w:val="0"/>
                <w:sz w:val="24"/>
                <w:u w:val="none"/>
                <w:effect w:val="none"/>
              </w:rPr>
              <w:t>A zenés, táncos rendezvények működésének biztonságosabbá tételéről szóló 23/2011. (III. 8.) Korm. rendelet 6. § (1) bekezdése</w:t>
            </w:r>
          </w:p>
        </w:tc>
        <w:tc>
          <w:tcPr>
            <w:tcW w:w="3213" w:type="dxa"/>
            <w:tcBorders/>
          </w:tcPr>
          <w:p>
            <w:pPr>
              <w:pStyle w:val="Tblzattartalom"/>
              <w:widowControl w:val="false"/>
              <w:jc w:val="center"/>
              <w:rPr>
                <w:rFonts w:ascii="Times New Roman" w:hAnsi="Times New Roman"/>
              </w:rPr>
            </w:pPr>
            <w:r>
              <w:rPr>
                <w:rFonts w:ascii="Times New Roman" w:hAnsi="Times New Roman"/>
                <w:b w:val="false"/>
                <w:i w:val="false"/>
                <w:caps w:val="false"/>
                <w:smallCaps w:val="false"/>
                <w:color w:val="252525"/>
                <w:spacing w:val="0"/>
                <w:sz w:val="24"/>
              </w:rPr>
              <w:t>Jegyző</w:t>
            </w:r>
          </w:p>
        </w:tc>
      </w:tr>
      <w:tr>
        <w:trPr/>
        <w:tc>
          <w:tcPr>
            <w:tcW w:w="3212" w:type="dxa"/>
            <w:tcBorders/>
          </w:tcPr>
          <w:p>
            <w:pPr>
              <w:pStyle w:val="Tblzattartalom"/>
              <w:widowControl w:val="false"/>
              <w:jc w:val="center"/>
              <w:rPr>
                <w:rFonts w:ascii="Times New Roman" w:hAnsi="Times New Roman"/>
              </w:rPr>
            </w:pPr>
            <w:r>
              <w:rPr>
                <w:rFonts w:ascii="Times New Roman" w:hAnsi="Times New Roman"/>
                <w:b w:val="false"/>
                <w:i w:val="false"/>
                <w:caps w:val="false"/>
                <w:smallCaps w:val="false"/>
                <w:color w:val="252525"/>
                <w:spacing w:val="0"/>
                <w:sz w:val="24"/>
              </w:rPr>
              <w:t>Helyi Esélyegyenlőségi Program</w:t>
            </w:r>
          </w:p>
        </w:tc>
        <w:tc>
          <w:tcPr>
            <w:tcW w:w="3213" w:type="dxa"/>
            <w:tcBorders/>
          </w:tcPr>
          <w:p>
            <w:pPr>
              <w:pStyle w:val="Tblzattartalom"/>
              <w:widowControl w:val="false"/>
              <w:jc w:val="center"/>
              <w:rPr>
                <w:rFonts w:ascii="Times New Roman" w:hAnsi="Times New Roman"/>
                <w:color w:val="000000"/>
              </w:rPr>
            </w:pPr>
            <w:r>
              <w:rPr>
                <w:rFonts w:ascii="Times New Roman" w:hAnsi="Times New Roman"/>
                <w:b w:val="false"/>
                <w:i w:val="false"/>
                <w:caps w:val="false"/>
                <w:smallCaps w:val="false"/>
                <w:strike w:val="false"/>
                <w:dstrike w:val="false"/>
                <w:color w:val="000000"/>
                <w:spacing w:val="0"/>
                <w:sz w:val="24"/>
                <w:u w:val="none"/>
                <w:effect w:val="none"/>
              </w:rPr>
              <w:t>A helyi esélyegyenlőségi programok elkészítésének szabályairól és az esélyegyenlőségi mentorokról szóló 321/2011. (XII. 27.) Korm. rendelet 3. §</w:t>
            </w:r>
          </w:p>
        </w:tc>
        <w:tc>
          <w:tcPr>
            <w:tcW w:w="3213" w:type="dxa"/>
            <w:tcBorders/>
          </w:tcPr>
          <w:p>
            <w:pPr>
              <w:pStyle w:val="Tblzattartalom"/>
              <w:widowControl w:val="false"/>
              <w:jc w:val="center"/>
              <w:rPr>
                <w:rFonts w:ascii="Times New Roman" w:hAnsi="Times New Roman"/>
              </w:rPr>
            </w:pPr>
            <w:r>
              <w:rPr>
                <w:rFonts w:ascii="Times New Roman" w:hAnsi="Times New Roman"/>
                <w:b w:val="false"/>
                <w:i w:val="false"/>
                <w:caps w:val="false"/>
                <w:smallCaps w:val="false"/>
                <w:color w:val="252525"/>
                <w:spacing w:val="0"/>
                <w:sz w:val="24"/>
              </w:rPr>
              <w:t>Önkormányzat</w:t>
            </w:r>
          </w:p>
        </w:tc>
      </w:tr>
      <w:tr>
        <w:trPr/>
        <w:tc>
          <w:tcPr>
            <w:tcW w:w="3212" w:type="dxa"/>
            <w:tcBorders/>
          </w:tcPr>
          <w:p>
            <w:pPr>
              <w:pStyle w:val="Tblzattartalom"/>
              <w:widowControl w:val="false"/>
              <w:jc w:val="center"/>
              <w:rPr>
                <w:rFonts w:ascii="Times New Roman" w:hAnsi="Times New Roman"/>
              </w:rPr>
            </w:pPr>
            <w:r>
              <w:rPr>
                <w:rFonts w:ascii="Times New Roman" w:hAnsi="Times New Roman"/>
                <w:b w:val="false"/>
                <w:i w:val="false"/>
                <w:caps w:val="false"/>
                <w:smallCaps w:val="false"/>
                <w:color w:val="252525"/>
                <w:spacing w:val="0"/>
                <w:sz w:val="24"/>
              </w:rPr>
              <w:t>Településfejlesztési Koncepció és Integrált Településfejlesztési Stratégia</w:t>
            </w:r>
          </w:p>
        </w:tc>
        <w:tc>
          <w:tcPr>
            <w:tcW w:w="3213" w:type="dxa"/>
            <w:tcBorders/>
          </w:tcPr>
          <w:p>
            <w:pPr>
              <w:pStyle w:val="Tblzattartalom"/>
              <w:widowControl w:val="false"/>
              <w:jc w:val="center"/>
              <w:rPr>
                <w:rFonts w:ascii="Times New Roman" w:hAnsi="Times New Roman"/>
                <w:color w:val="000000"/>
              </w:rPr>
            </w:pPr>
            <w:r>
              <w:rPr>
                <w:rFonts w:ascii="Times New Roman" w:hAnsi="Times New Roman"/>
                <w:b w:val="false"/>
                <w:i w:val="false"/>
                <w:caps w:val="false"/>
                <w:smallCaps w:val="false"/>
                <w:strike w:val="false"/>
                <w:dstrike w:val="false"/>
                <w:color w:val="000000"/>
                <w:spacing w:val="0"/>
                <w:sz w:val="24"/>
                <w:u w:val="none"/>
                <w:effect w:val="none"/>
              </w:rPr>
              <w:t>A településtervek tartalmáról, elkészítésének és elfogadásának rendjéről, valamint egyes településrendezési sajátos jogintézményekről szóló 419/2021. (VII.15.) Kormányrendelet</w:t>
            </w:r>
          </w:p>
        </w:tc>
        <w:tc>
          <w:tcPr>
            <w:tcW w:w="3213" w:type="dxa"/>
            <w:tcBorders/>
          </w:tcPr>
          <w:p>
            <w:pPr>
              <w:pStyle w:val="Tblzattartalom"/>
              <w:widowControl w:val="false"/>
              <w:jc w:val="center"/>
              <w:rPr>
                <w:rFonts w:ascii="Times New Roman" w:hAnsi="Times New Roman"/>
              </w:rPr>
            </w:pPr>
            <w:r>
              <w:rPr>
                <w:rFonts w:ascii="Times New Roman" w:hAnsi="Times New Roman"/>
                <w:b w:val="false"/>
                <w:i w:val="false"/>
                <w:caps w:val="false"/>
                <w:smallCaps w:val="false"/>
                <w:color w:val="252525"/>
                <w:spacing w:val="0"/>
                <w:sz w:val="24"/>
              </w:rPr>
              <w:t>Önkormányzat</w:t>
            </w:r>
          </w:p>
        </w:tc>
      </w:tr>
      <w:tr>
        <w:trPr/>
        <w:tc>
          <w:tcPr>
            <w:tcW w:w="3212" w:type="dxa"/>
            <w:tcBorders/>
          </w:tcPr>
          <w:p>
            <w:pPr>
              <w:pStyle w:val="Tblzattartalom"/>
              <w:widowControl w:val="false"/>
              <w:jc w:val="center"/>
              <w:rPr>
                <w:rFonts w:ascii="Times New Roman" w:hAnsi="Times New Roman"/>
              </w:rPr>
            </w:pPr>
            <w:r>
              <w:rPr>
                <w:rFonts w:ascii="Times New Roman" w:hAnsi="Times New Roman"/>
                <w:b w:val="false"/>
                <w:i w:val="false"/>
                <w:caps w:val="false"/>
                <w:smallCaps w:val="false"/>
                <w:color w:val="252525"/>
                <w:spacing w:val="0"/>
                <w:sz w:val="24"/>
              </w:rPr>
              <w:t>Településrendezési terv</w:t>
            </w:r>
          </w:p>
        </w:tc>
        <w:tc>
          <w:tcPr>
            <w:tcW w:w="3213" w:type="dxa"/>
            <w:tcBorders/>
          </w:tcPr>
          <w:p>
            <w:pPr>
              <w:pStyle w:val="Szvegtrzs"/>
              <w:widowControl w:val="false"/>
              <w:jc w:val="center"/>
              <w:rPr>
                <w:rFonts w:ascii="Times New Roman" w:hAnsi="Times New Roman"/>
                <w:color w:val="000000"/>
              </w:rPr>
            </w:pPr>
            <w:r>
              <w:rPr>
                <w:rFonts w:ascii="Times New Roman" w:hAnsi="Times New Roman"/>
                <w:strike w:val="false"/>
                <w:dstrike w:val="false"/>
                <w:color w:val="000000"/>
                <w:u w:val="none"/>
                <w:effect w:val="none"/>
              </w:rPr>
              <w:br/>
              <w:t>A főépítészi tevékenységről szóló 190/2009. (IX.15.) Kormányrendelet</w:t>
            </w:r>
          </w:p>
          <w:p>
            <w:pPr>
              <w:pStyle w:val="Szvegtrzs"/>
              <w:widowControl w:val="false"/>
              <w:jc w:val="center"/>
              <w:rPr>
                <w:strike w:val="false"/>
                <w:dstrike w:val="false"/>
                <w:u w:val="none"/>
                <w:effect w:val="none"/>
              </w:rPr>
            </w:pPr>
            <w:r>
              <w:rPr>
                <w:strike w:val="false"/>
                <w:dstrike w:val="false"/>
                <w:u w:val="none"/>
                <w:effect w:val="none"/>
              </w:rPr>
            </w:r>
          </w:p>
          <w:p>
            <w:pPr>
              <w:pStyle w:val="Tblzattartalom"/>
              <w:widowControl w:val="false"/>
              <w:jc w:val="center"/>
              <w:rPr>
                <w:rFonts w:ascii="Times New Roman" w:hAnsi="Times New Roman"/>
                <w:color w:val="000000"/>
              </w:rPr>
            </w:pPr>
            <w:r>
              <w:rPr>
                <w:rFonts w:ascii="Times New Roman" w:hAnsi="Times New Roman"/>
                <w:color w:val="000000"/>
              </w:rPr>
            </w:r>
          </w:p>
        </w:tc>
        <w:tc>
          <w:tcPr>
            <w:tcW w:w="3213" w:type="dxa"/>
            <w:tcBorders/>
          </w:tcPr>
          <w:p>
            <w:pPr>
              <w:pStyle w:val="Tblzattartalom"/>
              <w:widowControl w:val="false"/>
              <w:jc w:val="center"/>
              <w:rPr>
                <w:rFonts w:ascii="Times New Roman" w:hAnsi="Times New Roman"/>
              </w:rPr>
            </w:pPr>
            <w:r>
              <w:rPr>
                <w:rFonts w:ascii="Times New Roman" w:hAnsi="Times New Roman"/>
              </w:rPr>
              <w:t>főépítész</w:t>
            </w:r>
          </w:p>
        </w:tc>
      </w:tr>
      <w:tr>
        <w:trPr/>
        <w:tc>
          <w:tcPr>
            <w:tcW w:w="3212" w:type="dxa"/>
            <w:tcBorders/>
          </w:tcPr>
          <w:p>
            <w:pPr>
              <w:pStyle w:val="Szvegtrzs"/>
              <w:widowControl w:val="false"/>
              <w:jc w:val="center"/>
              <w:rPr>
                <w:rFonts w:ascii="Times New Roman" w:hAnsi="Times New Roman"/>
              </w:rPr>
            </w:pPr>
            <w:r>
              <w:rPr>
                <w:rFonts w:ascii="Times New Roman" w:hAnsi="Times New Roman"/>
              </w:rPr>
              <w:br/>
              <w:t>A telephelyekről vezetett nyilvántartás</w:t>
            </w:r>
          </w:p>
          <w:p>
            <w:pPr>
              <w:pStyle w:val="Tblzattartalom"/>
              <w:widowControl w:val="false"/>
              <w:jc w:val="center"/>
              <w:rPr>
                <w:rFonts w:ascii="Times New Roman" w:hAnsi="Times New Roman"/>
              </w:rPr>
            </w:pPr>
            <w:r>
              <w:rPr>
                <w:rFonts w:ascii="Times New Roman" w:hAnsi="Times New Roman"/>
              </w:rPr>
            </w:r>
          </w:p>
        </w:tc>
        <w:tc>
          <w:tcPr>
            <w:tcW w:w="3213" w:type="dxa"/>
            <w:tcBorders/>
          </w:tcPr>
          <w:p>
            <w:pPr>
              <w:pStyle w:val="Tblzattartalom"/>
              <w:widowControl w:val="false"/>
              <w:jc w:val="center"/>
              <w:rPr>
                <w:rFonts w:ascii="Times New Roman" w:hAnsi="Times New Roman"/>
                <w:color w:val="000000"/>
              </w:rPr>
            </w:pPr>
            <w:r>
              <w:rPr>
                <w:rFonts w:ascii="Times New Roman" w:hAnsi="Times New Roman"/>
                <w:b w:val="false"/>
                <w:i w:val="false"/>
                <w:caps w:val="false"/>
                <w:smallCaps w:val="false"/>
                <w:strike w:val="false"/>
                <w:dstrike w:val="false"/>
                <w:color w:val="000000"/>
                <w:spacing w:val="0"/>
                <w:sz w:val="24"/>
                <w:u w:val="none"/>
                <w:effect w:val="none"/>
              </w:rPr>
              <w:t>A telepengedély, illetve a telep létesítésének bejelentése alapján gyakorolható egyes termelő és egyes szolgáltató tevékenységekről, valamint a telepengedélyezés rendjéről és a bejelentés szabályairól szóló 57/2013. (II. 27.) Korm. rendelet 8. § (1) bekezdése</w:t>
            </w:r>
          </w:p>
        </w:tc>
        <w:tc>
          <w:tcPr>
            <w:tcW w:w="3213" w:type="dxa"/>
            <w:tcBorders/>
          </w:tcPr>
          <w:p>
            <w:pPr>
              <w:pStyle w:val="Tblzattartalom"/>
              <w:widowControl w:val="false"/>
              <w:jc w:val="center"/>
              <w:rPr>
                <w:rFonts w:ascii="Times New Roman" w:hAnsi="Times New Roman"/>
              </w:rPr>
            </w:pPr>
            <w:r>
              <w:rPr>
                <w:rFonts w:ascii="Times New Roman" w:hAnsi="Times New Roman"/>
                <w:b w:val="false"/>
                <w:i w:val="false"/>
                <w:caps w:val="false"/>
                <w:smallCaps w:val="false"/>
                <w:color w:val="252525"/>
                <w:spacing w:val="0"/>
                <w:sz w:val="24"/>
              </w:rPr>
              <w:t>Jegyző</w:t>
            </w:r>
          </w:p>
        </w:tc>
      </w:tr>
      <w:tr>
        <w:trPr/>
        <w:tc>
          <w:tcPr>
            <w:tcW w:w="3212" w:type="dxa"/>
            <w:tcBorders/>
          </w:tcPr>
          <w:p>
            <w:pPr>
              <w:pStyle w:val="Tblzattartalom"/>
              <w:widowControl w:val="false"/>
              <w:jc w:val="center"/>
              <w:rPr>
                <w:rFonts w:ascii="Times New Roman" w:hAnsi="Times New Roman"/>
              </w:rPr>
            </w:pPr>
            <w:r>
              <w:rPr>
                <w:rFonts w:ascii="Times New Roman" w:hAnsi="Times New Roman"/>
                <w:b w:val="false"/>
                <w:i w:val="false"/>
                <w:caps w:val="false"/>
                <w:smallCaps w:val="false"/>
                <w:color w:val="252525"/>
                <w:spacing w:val="0"/>
                <w:sz w:val="24"/>
              </w:rPr>
              <w:t>Az óvodai beiratkozás idejéről, az óvodai jogviszony létesítésével összefüggő eljárásról szóló közlemény vagy hirdetmény</w:t>
            </w:r>
          </w:p>
        </w:tc>
        <w:tc>
          <w:tcPr>
            <w:tcW w:w="3213" w:type="dxa"/>
            <w:tcBorders/>
          </w:tcPr>
          <w:p>
            <w:pPr>
              <w:pStyle w:val="Szvegtrzs"/>
              <w:widowControl w:val="false"/>
              <w:jc w:val="center"/>
              <w:rPr>
                <w:rFonts w:ascii="Times New Roman" w:hAnsi="Times New Roman"/>
                <w:color w:val="000000"/>
              </w:rPr>
            </w:pPr>
            <w:r>
              <w:rPr>
                <w:rFonts w:ascii="Times New Roman" w:hAnsi="Times New Roman"/>
                <w:b w:val="false"/>
                <w:i w:val="false"/>
                <w:caps w:val="false"/>
                <w:smallCaps w:val="false"/>
                <w:strike w:val="false"/>
                <w:dstrike w:val="false"/>
                <w:color w:val="000000"/>
                <w:spacing w:val="0"/>
                <w:sz w:val="24"/>
                <w:u w:val="none"/>
                <w:effect w:val="none"/>
              </w:rPr>
              <w:t>A nevelési-oktatási intézmények működéséről és a köznevelési intézmények</w:t>
            </w:r>
            <w:r>
              <w:rPr>
                <w:rFonts w:ascii="Times New Roman" w:hAnsi="Times New Roman"/>
                <w:caps w:val="false"/>
                <w:smallCaps w:val="false"/>
                <w:strike w:val="false"/>
                <w:dstrike w:val="false"/>
                <w:color w:val="000000"/>
                <w:spacing w:val="0"/>
                <w:u w:val="none"/>
                <w:effect w:val="none"/>
              </w:rPr>
              <w:t> </w:t>
            </w:r>
            <w:r>
              <w:rPr>
                <w:rFonts w:ascii="Times New Roman" w:hAnsi="Times New Roman"/>
                <w:b w:val="false"/>
                <w:i w:val="false"/>
                <w:caps w:val="false"/>
                <w:smallCaps w:val="false"/>
                <w:strike w:val="false"/>
                <w:dstrike w:val="false"/>
                <w:color w:val="000000"/>
                <w:spacing w:val="0"/>
                <w:sz w:val="24"/>
                <w:u w:val="none"/>
                <w:effect w:val="none"/>
              </w:rPr>
              <w:t>névhasználatáról szóló 20/2012. (VIII. 31.) EMMI rendelet 20. § (1) bekezdése</w:t>
            </w:r>
            <w:r>
              <w:rPr>
                <w:rFonts w:ascii="Times New Roman" w:hAnsi="Times New Roman"/>
                <w:strike w:val="false"/>
                <w:dstrike w:val="false"/>
                <w:color w:val="000000"/>
                <w:u w:val="none"/>
                <w:effect w:val="none"/>
              </w:rPr>
              <w:t xml:space="preserve"> </w:t>
              <w:br/>
            </w:r>
          </w:p>
          <w:p>
            <w:pPr>
              <w:pStyle w:val="Tblzattartalom"/>
              <w:widowControl w:val="false"/>
              <w:jc w:val="center"/>
              <w:rPr>
                <w:rFonts w:ascii="Times New Roman" w:hAnsi="Times New Roman"/>
                <w:color w:val="000000"/>
              </w:rPr>
            </w:pPr>
            <w:r>
              <w:rPr>
                <w:rFonts w:ascii="Times New Roman" w:hAnsi="Times New Roman"/>
                <w:color w:val="000000"/>
              </w:rPr>
            </w:r>
          </w:p>
        </w:tc>
        <w:tc>
          <w:tcPr>
            <w:tcW w:w="3213" w:type="dxa"/>
            <w:tcBorders/>
          </w:tcPr>
          <w:p>
            <w:pPr>
              <w:pStyle w:val="Tblzattartalom"/>
              <w:widowControl w:val="false"/>
              <w:jc w:val="center"/>
              <w:rPr>
                <w:rFonts w:ascii="Times New Roman" w:hAnsi="Times New Roman"/>
              </w:rPr>
            </w:pPr>
            <w:r>
              <w:rPr>
                <w:rFonts w:ascii="Times New Roman" w:hAnsi="Times New Roman"/>
                <w:b w:val="false"/>
                <w:i w:val="false"/>
                <w:caps w:val="false"/>
                <w:smallCaps w:val="false"/>
                <w:color w:val="252525"/>
                <w:spacing w:val="0"/>
                <w:sz w:val="24"/>
              </w:rPr>
              <w:t>Önkormányzat</w:t>
            </w:r>
          </w:p>
        </w:tc>
      </w:tr>
      <w:tr>
        <w:trPr/>
        <w:tc>
          <w:tcPr>
            <w:tcW w:w="3212" w:type="dxa"/>
            <w:tcBorders/>
          </w:tcPr>
          <w:p>
            <w:pPr>
              <w:pStyle w:val="Tblzattartalom"/>
              <w:widowControl w:val="false"/>
              <w:jc w:val="center"/>
              <w:rPr>
                <w:rFonts w:ascii="Times New Roman" w:hAnsi="Times New Roman"/>
              </w:rPr>
            </w:pPr>
            <w:r>
              <w:rPr>
                <w:rFonts w:ascii="Times New Roman" w:hAnsi="Times New Roman"/>
                <w:b w:val="false"/>
                <w:i w:val="false"/>
                <w:caps w:val="false"/>
                <w:smallCaps w:val="false"/>
                <w:color w:val="252525"/>
                <w:spacing w:val="0"/>
                <w:sz w:val="24"/>
              </w:rPr>
              <w:t>A háziorvosi körzetek területi elhelyezkedése, a körzetek lakosságának orvosi alapellátását végző háziorvosok neve és képesítési adatai</w:t>
            </w:r>
          </w:p>
        </w:tc>
        <w:tc>
          <w:tcPr>
            <w:tcW w:w="3213" w:type="dxa"/>
            <w:tcBorders/>
          </w:tcPr>
          <w:p>
            <w:pPr>
              <w:pStyle w:val="Tblzattartalom"/>
              <w:widowControl w:val="false"/>
              <w:jc w:val="center"/>
              <w:rPr>
                <w:rFonts w:ascii="Times New Roman" w:hAnsi="Times New Roman"/>
                <w:color w:val="000000"/>
              </w:rPr>
            </w:pPr>
            <w:r>
              <w:rPr>
                <w:rFonts w:ascii="Times New Roman" w:hAnsi="Times New Roman"/>
                <w:b w:val="false"/>
                <w:i w:val="false"/>
                <w:caps w:val="false"/>
                <w:smallCaps w:val="false"/>
                <w:strike w:val="false"/>
                <w:dstrike w:val="false"/>
                <w:color w:val="000000"/>
                <w:spacing w:val="0"/>
                <w:sz w:val="24"/>
                <w:u w:val="none"/>
                <w:effect w:val="none"/>
              </w:rPr>
              <w:t>A háziorvosi, házi gyermekorvosi és fogorvosi tevékenységről szóló 4/2000. (II. 25.) EüM rendelet 3/C. § (1) bekezdése</w:t>
            </w:r>
            <w:r>
              <w:rPr>
                <w:rFonts w:ascii="Times New Roman" w:hAnsi="Times New Roman"/>
                <w:caps w:val="false"/>
                <w:smallCaps w:val="false"/>
                <w:color w:val="000000"/>
                <w:spacing w:val="0"/>
              </w:rPr>
              <w:t> </w:t>
            </w:r>
            <w:r>
              <w:rPr>
                <w:rFonts w:ascii="Times New Roman" w:hAnsi="Times New Roman"/>
                <w:b w:val="false"/>
                <w:i w:val="false"/>
                <w:caps w:val="false"/>
                <w:smallCaps w:val="false"/>
                <w:strike w:val="false"/>
                <w:dstrike w:val="false"/>
                <w:color w:val="000000"/>
                <w:spacing w:val="0"/>
                <w:sz w:val="24"/>
                <w:u w:val="none"/>
                <w:effect w:val="none"/>
              </w:rPr>
              <w:t>25.) EüM rendelet</w:t>
            </w:r>
          </w:p>
        </w:tc>
        <w:tc>
          <w:tcPr>
            <w:tcW w:w="3213" w:type="dxa"/>
            <w:tcBorders/>
          </w:tcPr>
          <w:p>
            <w:pPr>
              <w:pStyle w:val="Tblzattartalom"/>
              <w:widowControl w:val="false"/>
              <w:jc w:val="center"/>
              <w:rPr>
                <w:rFonts w:ascii="Times New Roman" w:hAnsi="Times New Roman"/>
              </w:rPr>
            </w:pPr>
            <w:r>
              <w:rPr>
                <w:rFonts w:ascii="Times New Roman" w:hAnsi="Times New Roman"/>
                <w:b w:val="false"/>
                <w:i w:val="false"/>
                <w:caps w:val="false"/>
                <w:smallCaps w:val="false"/>
                <w:color w:val="252525"/>
                <w:spacing w:val="0"/>
                <w:sz w:val="24"/>
              </w:rPr>
              <w:t>Jegyző</w:t>
            </w:r>
          </w:p>
        </w:tc>
      </w:tr>
      <w:tr>
        <w:trPr/>
        <w:tc>
          <w:tcPr>
            <w:tcW w:w="3212" w:type="dxa"/>
            <w:tcBorders/>
          </w:tcPr>
          <w:p>
            <w:pPr>
              <w:pStyle w:val="Tblzattartalom"/>
              <w:widowControl w:val="false"/>
              <w:jc w:val="center"/>
              <w:rPr>
                <w:rFonts w:ascii="Times New Roman" w:hAnsi="Times New Roman"/>
              </w:rPr>
            </w:pPr>
            <w:r>
              <w:rPr>
                <w:rFonts w:ascii="Times New Roman" w:hAnsi="Times New Roman"/>
                <w:b w:val="false"/>
                <w:i w:val="false"/>
                <w:caps w:val="false"/>
                <w:smallCaps w:val="false"/>
                <w:color w:val="252525"/>
                <w:spacing w:val="0"/>
                <w:sz w:val="24"/>
              </w:rPr>
              <w:t>A felelősségi körébe tartozó személyszállítási közszolgáltatási tevékenységről szóló éves összevont jelentés</w:t>
            </w:r>
          </w:p>
        </w:tc>
        <w:tc>
          <w:tcPr>
            <w:tcW w:w="3213" w:type="dxa"/>
            <w:tcBorders/>
          </w:tcPr>
          <w:p>
            <w:pPr>
              <w:pStyle w:val="Tblzattartalom"/>
              <w:widowControl w:val="false"/>
              <w:jc w:val="center"/>
              <w:rPr>
                <w:rFonts w:ascii="Times New Roman" w:hAnsi="Times New Roman"/>
                <w:color w:val="000000"/>
              </w:rPr>
            </w:pPr>
            <w:r>
              <w:rPr>
                <w:rFonts w:ascii="Times New Roman" w:hAnsi="Times New Roman"/>
                <w:b w:val="false"/>
                <w:i w:val="false"/>
                <w:caps w:val="false"/>
                <w:smallCaps w:val="false"/>
                <w:strike w:val="false"/>
                <w:dstrike w:val="false"/>
                <w:color w:val="000000"/>
                <w:spacing w:val="0"/>
                <w:sz w:val="24"/>
                <w:u w:val="none"/>
                <w:effect w:val="none"/>
              </w:rPr>
              <w:t>A személyszállítási szolgáltatásokról szóló 2012. évi XLI. törvény 5. § (5) bekezdése</w:t>
            </w:r>
          </w:p>
        </w:tc>
        <w:tc>
          <w:tcPr>
            <w:tcW w:w="3213" w:type="dxa"/>
            <w:tcBorders/>
          </w:tcPr>
          <w:p>
            <w:pPr>
              <w:pStyle w:val="Tblzattartalom"/>
              <w:widowControl w:val="false"/>
              <w:jc w:val="center"/>
              <w:rPr>
                <w:rFonts w:ascii="Times New Roman" w:hAnsi="Times New Roman"/>
              </w:rPr>
            </w:pPr>
            <w:r>
              <w:rPr>
                <w:rFonts w:ascii="Times New Roman" w:hAnsi="Times New Roman"/>
                <w:b w:val="false"/>
                <w:i w:val="false"/>
                <w:caps w:val="false"/>
                <w:smallCaps w:val="false"/>
                <w:color w:val="252525"/>
                <w:spacing w:val="0"/>
                <w:sz w:val="24"/>
              </w:rPr>
              <w:t>Önkormányzat</w:t>
            </w:r>
          </w:p>
        </w:tc>
      </w:tr>
      <w:tr>
        <w:trPr/>
        <w:tc>
          <w:tcPr>
            <w:tcW w:w="3212" w:type="dxa"/>
            <w:tcBorders/>
          </w:tcPr>
          <w:p>
            <w:pPr>
              <w:pStyle w:val="Tblzattartalom"/>
              <w:widowControl w:val="false"/>
              <w:jc w:val="center"/>
              <w:rPr>
                <w:rFonts w:ascii="Times New Roman" w:hAnsi="Times New Roman"/>
              </w:rPr>
            </w:pPr>
            <w:r>
              <w:rPr>
                <w:rFonts w:ascii="Times New Roman" w:hAnsi="Times New Roman"/>
                <w:b w:val="false"/>
                <w:i w:val="false"/>
                <w:caps w:val="false"/>
                <w:smallCaps w:val="false"/>
                <w:color w:val="252525"/>
                <w:spacing w:val="0"/>
                <w:sz w:val="24"/>
              </w:rPr>
              <w:t>A települési értéktárban nyilvántartott nemzeti érték megnevezése</w:t>
            </w:r>
          </w:p>
        </w:tc>
        <w:tc>
          <w:tcPr>
            <w:tcW w:w="3213" w:type="dxa"/>
            <w:tcBorders/>
          </w:tcPr>
          <w:p>
            <w:pPr>
              <w:pStyle w:val="Tblzattartalom"/>
              <w:widowControl w:val="false"/>
              <w:jc w:val="center"/>
              <w:rPr>
                <w:rFonts w:ascii="Times New Roman" w:hAnsi="Times New Roman"/>
                <w:color w:val="000000"/>
              </w:rPr>
            </w:pPr>
            <w:r>
              <w:rPr>
                <w:rFonts w:ascii="Times New Roman" w:hAnsi="Times New Roman"/>
                <w:b w:val="false"/>
                <w:i w:val="false"/>
                <w:caps w:val="false"/>
                <w:smallCaps w:val="false"/>
                <w:strike w:val="false"/>
                <w:dstrike w:val="false"/>
                <w:color w:val="000000"/>
                <w:spacing w:val="0"/>
                <w:sz w:val="24"/>
                <w:u w:val="none"/>
                <w:effect w:val="none"/>
              </w:rPr>
              <w:t>A magyar nemzeti értékek és hungarikumok értéktárba való felvételéről és az</w:t>
            </w:r>
            <w:r>
              <w:rPr>
                <w:rFonts w:ascii="Times New Roman" w:hAnsi="Times New Roman"/>
                <w:caps w:val="false"/>
                <w:smallCaps w:val="false"/>
                <w:color w:val="000000"/>
                <w:spacing w:val="0"/>
              </w:rPr>
              <w:t> </w:t>
            </w:r>
            <w:r>
              <w:rPr>
                <w:rFonts w:ascii="Times New Roman" w:hAnsi="Times New Roman"/>
                <w:b w:val="false"/>
                <w:i w:val="false"/>
                <w:caps w:val="false"/>
                <w:smallCaps w:val="false"/>
                <w:strike w:val="false"/>
                <w:dstrike w:val="false"/>
                <w:color w:val="000000"/>
                <w:spacing w:val="0"/>
                <w:sz w:val="24"/>
                <w:u w:val="none"/>
                <w:effect w:val="none"/>
              </w:rPr>
              <w:t>értéktár bizottságok munkájának szabályozásáról szóló 324/2020. (VII. 1.) Korm. rendelet 18. § (1) bekezdése</w:t>
            </w:r>
          </w:p>
        </w:tc>
        <w:tc>
          <w:tcPr>
            <w:tcW w:w="3213" w:type="dxa"/>
            <w:tcBorders/>
          </w:tcPr>
          <w:p>
            <w:pPr>
              <w:pStyle w:val="Tblzattartalom"/>
              <w:widowControl w:val="false"/>
              <w:jc w:val="center"/>
              <w:rPr>
                <w:rFonts w:ascii="Times New Roman" w:hAnsi="Times New Roman"/>
              </w:rPr>
            </w:pPr>
            <w:r>
              <w:rPr>
                <w:rFonts w:ascii="Times New Roman" w:hAnsi="Times New Roman"/>
                <w:b w:val="false"/>
                <w:i w:val="false"/>
                <w:caps w:val="false"/>
                <w:smallCaps w:val="false"/>
                <w:color w:val="252525"/>
                <w:spacing w:val="0"/>
                <w:sz w:val="24"/>
              </w:rPr>
              <w:t>Jegyző</w:t>
            </w:r>
          </w:p>
        </w:tc>
      </w:tr>
      <w:tr>
        <w:trPr/>
        <w:tc>
          <w:tcPr>
            <w:tcW w:w="3212" w:type="dxa"/>
            <w:tcBorders/>
          </w:tcPr>
          <w:p>
            <w:pPr>
              <w:pStyle w:val="Tblzattartalom"/>
              <w:widowControl w:val="false"/>
              <w:jc w:val="center"/>
              <w:rPr>
                <w:rFonts w:ascii="Times New Roman" w:hAnsi="Times New Roman"/>
              </w:rPr>
            </w:pPr>
            <w:r>
              <w:rPr>
                <w:rFonts w:ascii="Times New Roman" w:hAnsi="Times New Roman"/>
                <w:b w:val="false"/>
                <w:i w:val="false"/>
                <w:caps w:val="false"/>
                <w:smallCaps w:val="false"/>
                <w:color w:val="252525"/>
                <w:spacing w:val="0"/>
                <w:sz w:val="24"/>
              </w:rPr>
              <w:t>Az önkormányzat által megkötött közművelődési megállapodások</w:t>
            </w:r>
          </w:p>
        </w:tc>
        <w:tc>
          <w:tcPr>
            <w:tcW w:w="3213" w:type="dxa"/>
            <w:tcBorders/>
          </w:tcPr>
          <w:p>
            <w:pPr>
              <w:pStyle w:val="Tblzattartalom"/>
              <w:widowControl w:val="false"/>
              <w:jc w:val="center"/>
              <w:rPr>
                <w:rFonts w:ascii="Times New Roman" w:hAnsi="Times New Roman"/>
                <w:color w:val="000000"/>
              </w:rPr>
            </w:pPr>
            <w:r>
              <w:rPr>
                <w:rFonts w:ascii="Times New Roman" w:hAnsi="Times New Roman"/>
                <w:b w:val="false"/>
                <w:i w:val="false"/>
                <w:caps w:val="false"/>
                <w:smallCaps w:val="false"/>
                <w:strike w:val="false"/>
                <w:dstrike w:val="false"/>
                <w:color w:val="000000"/>
                <w:spacing w:val="0"/>
                <w:sz w:val="24"/>
                <w:u w:val="none"/>
                <w:effect w:val="none"/>
              </w:rPr>
              <w:t>A muzeális intézményekről, a nyilvános könyvtári ellátásról és a közművelődésről szóló 1997. évi CXL. törvény 79. § (1) bekezdése</w:t>
            </w:r>
          </w:p>
        </w:tc>
        <w:tc>
          <w:tcPr>
            <w:tcW w:w="3213" w:type="dxa"/>
            <w:tcBorders/>
          </w:tcPr>
          <w:p>
            <w:pPr>
              <w:pStyle w:val="Tblzattartalom"/>
              <w:widowControl w:val="false"/>
              <w:jc w:val="center"/>
              <w:rPr>
                <w:rFonts w:ascii="Times New Roman" w:hAnsi="Times New Roman"/>
              </w:rPr>
            </w:pPr>
            <w:r>
              <w:rPr>
                <w:rFonts w:ascii="Times New Roman" w:hAnsi="Times New Roman"/>
                <w:b w:val="false"/>
                <w:i w:val="false"/>
                <w:caps w:val="false"/>
                <w:smallCaps w:val="false"/>
                <w:color w:val="252525"/>
                <w:spacing w:val="0"/>
                <w:sz w:val="24"/>
              </w:rPr>
              <w:t>Önkormányzat</w:t>
            </w:r>
          </w:p>
        </w:tc>
      </w:tr>
      <w:tr>
        <w:trPr/>
        <w:tc>
          <w:tcPr>
            <w:tcW w:w="3212" w:type="dxa"/>
            <w:tcBorders/>
          </w:tcPr>
          <w:p>
            <w:pPr>
              <w:pStyle w:val="Tblzattartalom"/>
              <w:widowControl w:val="false"/>
              <w:jc w:val="center"/>
              <w:rPr>
                <w:rFonts w:ascii="Times New Roman" w:hAnsi="Times New Roman"/>
              </w:rPr>
            </w:pPr>
            <w:r>
              <w:rPr>
                <w:rFonts w:ascii="Times New Roman" w:hAnsi="Times New Roman"/>
                <w:b w:val="false"/>
                <w:i w:val="false"/>
                <w:caps w:val="false"/>
                <w:smallCaps w:val="false"/>
                <w:color w:val="252525"/>
                <w:spacing w:val="0"/>
                <w:sz w:val="24"/>
              </w:rPr>
              <w:t>Ingatlanközvetítő szolgáltatási tevékenységet végző természetes személyekről és gazdálkodó szervezetekről vezetett nyilvántartás</w:t>
            </w:r>
          </w:p>
        </w:tc>
        <w:tc>
          <w:tcPr>
            <w:tcW w:w="3213" w:type="dxa"/>
            <w:tcBorders/>
          </w:tcPr>
          <w:p>
            <w:pPr>
              <w:pStyle w:val="Tblzattartalom"/>
              <w:widowControl w:val="false"/>
              <w:jc w:val="center"/>
              <w:rPr>
                <w:rFonts w:ascii="Times New Roman" w:hAnsi="Times New Roman"/>
                <w:color w:val="000000"/>
              </w:rPr>
            </w:pPr>
            <w:r>
              <w:rPr>
                <w:rFonts w:ascii="Times New Roman" w:hAnsi="Times New Roman"/>
                <w:b w:val="false"/>
                <w:i w:val="false"/>
                <w:caps w:val="false"/>
                <w:smallCaps w:val="false"/>
                <w:strike w:val="false"/>
                <w:dstrike w:val="false"/>
                <w:color w:val="000000"/>
                <w:spacing w:val="0"/>
                <w:sz w:val="24"/>
                <w:u w:val="none"/>
                <w:effect w:val="none"/>
              </w:rPr>
              <w:t>A társasházkezelő, az ingatlankezelő, az ingatlanközvetítő, valamint az ingatlanvagyon-értékelő és -közvetítő szolgáltatói tevékenység üzletszerűen történő végzésének feltételeiről és a nyilvántartásba vétel részletes szabályairól ​szóló 499/2017. (XII. 29.) Kormányrendelet</w:t>
            </w:r>
          </w:p>
        </w:tc>
        <w:tc>
          <w:tcPr>
            <w:tcW w:w="3213" w:type="dxa"/>
            <w:tcBorders/>
          </w:tcPr>
          <w:p>
            <w:pPr>
              <w:pStyle w:val="Tblzattartalom"/>
              <w:widowControl w:val="false"/>
              <w:jc w:val="center"/>
              <w:rPr>
                <w:rFonts w:ascii="Times New Roman" w:hAnsi="Times New Roman"/>
              </w:rPr>
            </w:pPr>
            <w:r>
              <w:rPr>
                <w:rFonts w:ascii="Times New Roman" w:hAnsi="Times New Roman"/>
                <w:b w:val="false"/>
                <w:i w:val="false"/>
                <w:caps w:val="false"/>
                <w:smallCaps w:val="false"/>
                <w:color w:val="252525"/>
                <w:spacing w:val="0"/>
                <w:sz w:val="24"/>
              </w:rPr>
              <w:t>Jegyző</w:t>
            </w:r>
          </w:p>
        </w:tc>
      </w:tr>
      <w:tr>
        <w:trPr/>
        <w:tc>
          <w:tcPr>
            <w:tcW w:w="3212" w:type="dxa"/>
            <w:tcBorders/>
          </w:tcPr>
          <w:p>
            <w:pPr>
              <w:pStyle w:val="Tblzattartalom"/>
              <w:widowControl w:val="false"/>
              <w:jc w:val="center"/>
              <w:rPr>
                <w:rFonts w:ascii="Times New Roman" w:hAnsi="Times New Roman"/>
              </w:rPr>
            </w:pPr>
            <w:r>
              <w:rPr>
                <w:rFonts w:ascii="Times New Roman" w:hAnsi="Times New Roman"/>
                <w:b w:val="false"/>
                <w:i w:val="false"/>
                <w:caps w:val="false"/>
                <w:smallCaps w:val="false"/>
                <w:color w:val="252525"/>
                <w:spacing w:val="0"/>
                <w:sz w:val="24"/>
              </w:rPr>
              <w:t>Cím megállapítás, felülvizsgálat hirdetményei</w:t>
            </w:r>
          </w:p>
        </w:tc>
        <w:tc>
          <w:tcPr>
            <w:tcW w:w="3213" w:type="dxa"/>
            <w:tcBorders/>
          </w:tcPr>
          <w:p>
            <w:pPr>
              <w:pStyle w:val="Tblzattartalom"/>
              <w:widowControl w:val="false"/>
              <w:jc w:val="center"/>
              <w:rPr>
                <w:rFonts w:ascii="Times New Roman" w:hAnsi="Times New Roman"/>
                <w:color w:val="000000"/>
              </w:rPr>
            </w:pPr>
            <w:r>
              <w:rPr>
                <w:rFonts w:ascii="Times New Roman" w:hAnsi="Times New Roman"/>
                <w:b w:val="false"/>
                <w:i w:val="false"/>
                <w:caps w:val="false"/>
                <w:smallCaps w:val="false"/>
                <w:strike w:val="false"/>
                <w:dstrike w:val="false"/>
                <w:color w:val="000000"/>
                <w:spacing w:val="0"/>
                <w:sz w:val="24"/>
                <w:u w:val="none"/>
                <w:effect w:val="none"/>
              </w:rPr>
              <w:t>A digitális szolgáltatások, a digitális állampolgárság szolgáltatások és támogató szolgáltatások részletes műszaki követelményeiről szóló 322/2024. (XI. 6.) Korm. rendelet</w:t>
            </w:r>
          </w:p>
        </w:tc>
        <w:tc>
          <w:tcPr>
            <w:tcW w:w="3213" w:type="dxa"/>
            <w:tcBorders/>
          </w:tcPr>
          <w:p>
            <w:pPr>
              <w:pStyle w:val="Tblzattartalom"/>
              <w:widowControl w:val="false"/>
              <w:jc w:val="center"/>
              <w:rPr>
                <w:rFonts w:ascii="Times New Roman" w:hAnsi="Times New Roman"/>
              </w:rPr>
            </w:pPr>
            <w:r>
              <w:rPr>
                <w:rFonts w:ascii="Times New Roman" w:hAnsi="Times New Roman"/>
                <w:b w:val="false"/>
                <w:i w:val="false"/>
                <w:caps w:val="false"/>
                <w:smallCaps w:val="false"/>
                <w:color w:val="252525"/>
                <w:spacing w:val="0"/>
                <w:sz w:val="24"/>
              </w:rPr>
              <w:t>Jegyző</w:t>
            </w:r>
          </w:p>
        </w:tc>
      </w:tr>
      <w:tr>
        <w:trPr/>
        <w:tc>
          <w:tcPr>
            <w:tcW w:w="3212" w:type="dxa"/>
            <w:tcBorders/>
          </w:tcPr>
          <w:p>
            <w:pPr>
              <w:pStyle w:val="Tblzattartalom"/>
              <w:widowControl w:val="false"/>
              <w:jc w:val="center"/>
              <w:rPr>
                <w:rFonts w:ascii="Times New Roman" w:hAnsi="Times New Roman"/>
              </w:rPr>
            </w:pPr>
            <w:r>
              <w:rPr>
                <w:rFonts w:ascii="Times New Roman" w:hAnsi="Times New Roman"/>
                <w:b w:val="false"/>
                <w:i w:val="false"/>
                <w:caps w:val="false"/>
                <w:smallCaps w:val="false"/>
                <w:color w:val="252525"/>
                <w:spacing w:val="0"/>
                <w:sz w:val="24"/>
              </w:rPr>
              <w:t>Európai uniós társfinanszírozással bonyolított pályázatok, pályázati úton nyújtott támogatás esetén a pályázati kiírás</w:t>
            </w:r>
          </w:p>
        </w:tc>
        <w:tc>
          <w:tcPr>
            <w:tcW w:w="3213" w:type="dxa"/>
            <w:tcBorders/>
          </w:tcPr>
          <w:p>
            <w:pPr>
              <w:pStyle w:val="Tblzattartalom"/>
              <w:widowControl w:val="false"/>
              <w:jc w:val="center"/>
              <w:rPr>
                <w:rFonts w:ascii="Times New Roman" w:hAnsi="Times New Roman"/>
                <w:color w:val="000000"/>
              </w:rPr>
            </w:pPr>
            <w:r>
              <w:rPr>
                <w:rFonts w:ascii="Times New Roman" w:hAnsi="Times New Roman"/>
                <w:b w:val="false"/>
                <w:i w:val="false"/>
                <w:caps w:val="false"/>
                <w:smallCaps w:val="false"/>
                <w:strike w:val="false"/>
                <w:dstrike w:val="false"/>
                <w:color w:val="000000"/>
                <w:spacing w:val="0"/>
                <w:sz w:val="24"/>
                <w:u w:val="none"/>
                <w:effect w:val="none"/>
              </w:rPr>
              <w:t>Az államháztartásról szóló törvény végrehajtásáról szóló 368/2011. (XII.31.) Kormányrendelet</w:t>
            </w:r>
          </w:p>
        </w:tc>
        <w:tc>
          <w:tcPr>
            <w:tcW w:w="3213" w:type="dxa"/>
            <w:tcBorders/>
          </w:tcPr>
          <w:p>
            <w:pPr>
              <w:pStyle w:val="Tblzattartalom"/>
              <w:widowControl w:val="false"/>
              <w:jc w:val="center"/>
              <w:rPr>
                <w:rFonts w:ascii="Times New Roman" w:hAnsi="Times New Roman"/>
              </w:rPr>
            </w:pPr>
            <w:r>
              <w:rPr>
                <w:rFonts w:ascii="Times New Roman" w:hAnsi="Times New Roman"/>
                <w:b w:val="false"/>
                <w:i w:val="false"/>
                <w:caps w:val="false"/>
                <w:smallCaps w:val="false"/>
                <w:color w:val="252525"/>
                <w:spacing w:val="0"/>
                <w:sz w:val="24"/>
              </w:rPr>
              <w:t>Önkormányzat</w:t>
            </w:r>
          </w:p>
        </w:tc>
      </w:tr>
      <w:tr>
        <w:trPr/>
        <w:tc>
          <w:tcPr>
            <w:tcW w:w="3212" w:type="dxa"/>
            <w:tcBorders/>
          </w:tcPr>
          <w:p>
            <w:pPr>
              <w:pStyle w:val="Tblzattartalom"/>
              <w:widowControl w:val="false"/>
              <w:jc w:val="center"/>
              <w:rPr>
                <w:rFonts w:ascii="Times New Roman" w:hAnsi="Times New Roman"/>
              </w:rPr>
            </w:pPr>
            <w:r>
              <w:rPr>
                <w:rFonts w:ascii="Times New Roman" w:hAnsi="Times New Roman"/>
                <w:b w:val="false"/>
                <w:i w:val="false"/>
                <w:caps w:val="false"/>
                <w:smallCaps w:val="false"/>
                <w:color w:val="252525"/>
                <w:spacing w:val="0"/>
                <w:sz w:val="24"/>
              </w:rPr>
              <w:t>Közbeszerzések</w:t>
            </w:r>
          </w:p>
        </w:tc>
        <w:tc>
          <w:tcPr>
            <w:tcW w:w="3213" w:type="dxa"/>
            <w:tcBorders/>
          </w:tcPr>
          <w:p>
            <w:pPr>
              <w:pStyle w:val="Tblzattartalom"/>
              <w:widowControl w:val="false"/>
              <w:jc w:val="center"/>
              <w:rPr>
                <w:rFonts w:ascii="Times New Roman" w:hAnsi="Times New Roman"/>
                <w:color w:val="000000"/>
              </w:rPr>
            </w:pPr>
            <w:r>
              <w:rPr>
                <w:rFonts w:ascii="Times New Roman" w:hAnsi="Times New Roman"/>
                <w:b w:val="false"/>
                <w:i w:val="false"/>
                <w:caps w:val="false"/>
                <w:smallCaps w:val="false"/>
                <w:strike w:val="false"/>
                <w:dstrike w:val="false"/>
                <w:color w:val="000000"/>
                <w:spacing w:val="0"/>
                <w:sz w:val="24"/>
                <w:u w:val="none"/>
                <w:effect w:val="none"/>
              </w:rPr>
              <w:t>A közbeszerzésekről szóló 2015. évi CXLIII. törvény</w:t>
            </w:r>
          </w:p>
        </w:tc>
        <w:tc>
          <w:tcPr>
            <w:tcW w:w="3213" w:type="dxa"/>
            <w:tcBorders/>
          </w:tcPr>
          <w:p>
            <w:pPr>
              <w:pStyle w:val="Tblzattartalom"/>
              <w:widowControl w:val="false"/>
              <w:jc w:val="center"/>
              <w:rPr>
                <w:rFonts w:ascii="Times New Roman" w:hAnsi="Times New Roman"/>
              </w:rPr>
            </w:pPr>
            <w:r>
              <w:rPr>
                <w:rFonts w:ascii="Times New Roman" w:hAnsi="Times New Roman"/>
                <w:b w:val="false"/>
                <w:i w:val="false"/>
                <w:caps w:val="false"/>
                <w:smallCaps w:val="false"/>
                <w:color w:val="252525"/>
                <w:spacing w:val="0"/>
                <w:sz w:val="24"/>
              </w:rPr>
              <w:t>Önkormányzat</w:t>
            </w:r>
          </w:p>
        </w:tc>
      </w:tr>
      <w:tr>
        <w:trPr/>
        <w:tc>
          <w:tcPr>
            <w:tcW w:w="3212" w:type="dxa"/>
            <w:tcBorders/>
          </w:tcPr>
          <w:p>
            <w:pPr>
              <w:pStyle w:val="Tblzattartalom"/>
              <w:widowControl w:val="false"/>
              <w:jc w:val="center"/>
              <w:rPr>
                <w:rFonts w:ascii="Times New Roman" w:hAnsi="Times New Roman"/>
              </w:rPr>
            </w:pPr>
            <w:r>
              <w:rPr>
                <w:rFonts w:ascii="Times New Roman" w:hAnsi="Times New Roman"/>
                <w:b w:val="false"/>
                <w:i w:val="false"/>
                <w:caps w:val="false"/>
                <w:smallCaps w:val="false"/>
                <w:color w:val="252525"/>
                <w:spacing w:val="0"/>
                <w:sz w:val="24"/>
              </w:rPr>
              <w:t>Árverési hirdetmények</w:t>
            </w:r>
          </w:p>
        </w:tc>
        <w:tc>
          <w:tcPr>
            <w:tcW w:w="3213" w:type="dxa"/>
            <w:tcBorders/>
          </w:tcPr>
          <w:p>
            <w:pPr>
              <w:pStyle w:val="Tblzattartalom"/>
              <w:widowControl w:val="false"/>
              <w:jc w:val="center"/>
              <w:rPr>
                <w:rFonts w:ascii="Times New Roman" w:hAnsi="Times New Roman"/>
                <w:color w:val="000000"/>
              </w:rPr>
            </w:pPr>
            <w:r>
              <w:rPr>
                <w:rFonts w:ascii="Times New Roman" w:hAnsi="Times New Roman"/>
                <w:b w:val="false"/>
                <w:i w:val="false"/>
                <w:caps w:val="false"/>
                <w:smallCaps w:val="false"/>
                <w:strike w:val="false"/>
                <w:dstrike w:val="false"/>
                <w:color w:val="000000"/>
                <w:spacing w:val="0"/>
                <w:sz w:val="24"/>
                <w:u w:val="none"/>
                <w:effect w:val="none"/>
              </w:rPr>
              <w:t>Az adóhatóság által foganatosítandó végrehajtási eljárásokról szóló 2017. évi CLIII. törvény 63. §-a</w:t>
            </w:r>
          </w:p>
        </w:tc>
        <w:tc>
          <w:tcPr>
            <w:tcW w:w="3213" w:type="dxa"/>
            <w:tcBorders/>
          </w:tcPr>
          <w:p>
            <w:pPr>
              <w:pStyle w:val="Tblzattartalom"/>
              <w:widowControl w:val="false"/>
              <w:jc w:val="center"/>
              <w:rPr>
                <w:rFonts w:ascii="Times New Roman" w:hAnsi="Times New Roman"/>
              </w:rPr>
            </w:pPr>
            <w:r>
              <w:rPr>
                <w:rFonts w:ascii="Times New Roman" w:hAnsi="Times New Roman"/>
                <w:b w:val="false"/>
                <w:i w:val="false"/>
                <w:caps w:val="false"/>
                <w:smallCaps w:val="false"/>
                <w:color w:val="252525"/>
                <w:spacing w:val="0"/>
                <w:sz w:val="24"/>
              </w:rPr>
              <w:t>Jegyző</w:t>
            </w:r>
          </w:p>
        </w:tc>
      </w:tr>
      <w:tr>
        <w:trPr/>
        <w:tc>
          <w:tcPr>
            <w:tcW w:w="3212" w:type="dxa"/>
            <w:tcBorders/>
          </w:tcPr>
          <w:p>
            <w:pPr>
              <w:pStyle w:val="Tblzattartalom"/>
              <w:widowControl w:val="false"/>
              <w:jc w:val="center"/>
              <w:rPr>
                <w:rFonts w:ascii="Times New Roman" w:hAnsi="Times New Roman"/>
              </w:rPr>
            </w:pPr>
            <w:r>
              <w:rPr>
                <w:rFonts w:ascii="Times New Roman" w:hAnsi="Times New Roman"/>
                <w:b w:val="false"/>
                <w:i w:val="false"/>
                <w:caps w:val="false"/>
                <w:smallCaps w:val="false"/>
                <w:color w:val="252525"/>
                <w:spacing w:val="0"/>
                <w:sz w:val="24"/>
              </w:rPr>
              <w:t>Kereskedelmi tevékenységek és az üzletek működési engedélyének nyilvántartása</w:t>
            </w:r>
          </w:p>
        </w:tc>
        <w:tc>
          <w:tcPr>
            <w:tcW w:w="3213" w:type="dxa"/>
            <w:tcBorders/>
          </w:tcPr>
          <w:p>
            <w:pPr>
              <w:pStyle w:val="Tblzattartalom"/>
              <w:widowControl w:val="false"/>
              <w:jc w:val="center"/>
              <w:rPr>
                <w:rFonts w:ascii="Times New Roman" w:hAnsi="Times New Roman"/>
                <w:color w:val="000000"/>
              </w:rPr>
            </w:pPr>
            <w:r>
              <w:rPr>
                <w:rFonts w:ascii="Times New Roman" w:hAnsi="Times New Roman"/>
                <w:b w:val="false"/>
                <w:i w:val="false"/>
                <w:caps w:val="false"/>
                <w:smallCaps w:val="false"/>
                <w:strike w:val="false"/>
                <w:dstrike w:val="false"/>
                <w:color w:val="000000"/>
                <w:spacing w:val="0"/>
                <w:sz w:val="24"/>
                <w:u w:val="none"/>
                <w:effect w:val="none"/>
              </w:rPr>
              <w:t>A kereskedelmi tevékenységek végzésének feltételeiről szóló 210/2009. (IX.29.) Kormányrendelet 9. § (1)</w:t>
            </w:r>
          </w:p>
        </w:tc>
        <w:tc>
          <w:tcPr>
            <w:tcW w:w="3213" w:type="dxa"/>
            <w:tcBorders/>
          </w:tcPr>
          <w:p>
            <w:pPr>
              <w:pStyle w:val="Tblzattartalom"/>
              <w:widowControl w:val="false"/>
              <w:jc w:val="center"/>
              <w:rPr>
                <w:rFonts w:ascii="Times New Roman" w:hAnsi="Times New Roman"/>
              </w:rPr>
            </w:pPr>
            <w:r>
              <w:rPr>
                <w:rFonts w:ascii="Times New Roman" w:hAnsi="Times New Roman"/>
                <w:b w:val="false"/>
                <w:i w:val="false"/>
                <w:caps w:val="false"/>
                <w:smallCaps w:val="false"/>
                <w:color w:val="252525"/>
                <w:spacing w:val="0"/>
                <w:sz w:val="24"/>
              </w:rPr>
              <w:t>Jegyző</w:t>
            </w:r>
          </w:p>
        </w:tc>
      </w:tr>
      <w:tr>
        <w:trPr/>
        <w:tc>
          <w:tcPr>
            <w:tcW w:w="3212" w:type="dxa"/>
            <w:tcBorders/>
          </w:tcPr>
          <w:p>
            <w:pPr>
              <w:pStyle w:val="Tblzattartalom"/>
              <w:widowControl w:val="false"/>
              <w:jc w:val="center"/>
              <w:rPr>
                <w:rFonts w:ascii="Times New Roman" w:hAnsi="Times New Roman"/>
              </w:rPr>
            </w:pPr>
            <w:r>
              <w:rPr>
                <w:rFonts w:ascii="Times New Roman" w:hAnsi="Times New Roman"/>
                <w:b w:val="false"/>
                <w:i w:val="false"/>
                <w:caps w:val="false"/>
                <w:smallCaps w:val="false"/>
                <w:color w:val="252525"/>
                <w:spacing w:val="0"/>
                <w:sz w:val="24"/>
              </w:rPr>
              <w:t>Hatósági nyilvántartás a vásárokról, a piacokról és azok fenntartójáról, valamint a helyi termelői piacokról</w:t>
            </w:r>
          </w:p>
        </w:tc>
        <w:tc>
          <w:tcPr>
            <w:tcW w:w="3213" w:type="dxa"/>
            <w:tcBorders/>
          </w:tcPr>
          <w:p>
            <w:pPr>
              <w:pStyle w:val="Tblzattartalom"/>
              <w:widowControl w:val="false"/>
              <w:jc w:val="center"/>
              <w:rPr>
                <w:rFonts w:ascii="Times New Roman" w:hAnsi="Times New Roman"/>
                <w:color w:val="000000"/>
              </w:rPr>
            </w:pPr>
            <w:r>
              <w:rPr>
                <w:rFonts w:ascii="Times New Roman" w:hAnsi="Times New Roman"/>
                <w:b w:val="false"/>
                <w:i w:val="false"/>
                <w:caps w:val="false"/>
                <w:smallCaps w:val="false"/>
                <w:strike w:val="false"/>
                <w:dstrike w:val="false"/>
                <w:color w:val="000000"/>
                <w:spacing w:val="0"/>
                <w:sz w:val="24"/>
                <w:u w:val="none"/>
                <w:effect w:val="none"/>
              </w:rPr>
              <w:t>A vásárokról, a piacokról és a bevásárlóközpontokról szóló 55/2009. (III. 13.) Korm. rendelet</w:t>
            </w:r>
          </w:p>
        </w:tc>
        <w:tc>
          <w:tcPr>
            <w:tcW w:w="3213" w:type="dxa"/>
            <w:tcBorders/>
          </w:tcPr>
          <w:p>
            <w:pPr>
              <w:pStyle w:val="Tblzattartalom"/>
              <w:widowControl w:val="false"/>
              <w:jc w:val="center"/>
              <w:rPr>
                <w:rFonts w:ascii="Times New Roman" w:hAnsi="Times New Roman"/>
              </w:rPr>
            </w:pPr>
            <w:r>
              <w:rPr>
                <w:rFonts w:ascii="Times New Roman" w:hAnsi="Times New Roman"/>
                <w:b w:val="false"/>
                <w:i w:val="false"/>
                <w:caps w:val="false"/>
                <w:smallCaps w:val="false"/>
                <w:color w:val="252525"/>
                <w:spacing w:val="0"/>
                <w:sz w:val="24"/>
              </w:rPr>
              <w:t>Jegyző</w:t>
            </w:r>
          </w:p>
        </w:tc>
      </w:tr>
    </w:tbl>
    <w:p>
      <w:pPr>
        <w:pStyle w:val="Tblzattartalom"/>
        <w:bidi w:val="0"/>
        <w:spacing w:before="0" w:after="283"/>
        <w:jc w:val="both"/>
        <w:rPr>
          <w:rFonts w:ascii="Times New Roman" w:hAnsi="Times New Roman"/>
        </w:rPr>
      </w:pPr>
      <w:r>
        <w:rPr>
          <w:rFonts w:ascii="Times New Roman" w:hAnsi="Times New Roman"/>
        </w:rPr>
      </w:r>
    </w:p>
    <w:p>
      <w:pPr>
        <w:pStyle w:val="Normal"/>
        <w:jc w:val="both"/>
        <w:rPr>
          <w:rFonts w:ascii="Times New Roman" w:hAnsi="Times New Roman"/>
        </w:rPr>
      </w:pPr>
      <w:r>
        <w:rPr>
          <w:rFonts w:ascii="Times New Roman" w:hAnsi="Times New Roman"/>
          <w:color w:val="000000"/>
        </w:rPr>
        <w:t>Utolsó módosítás ideje: 2026. 0</w:t>
      </w:r>
      <w:r>
        <w:rPr>
          <w:rFonts w:ascii="Times New Roman" w:hAnsi="Times New Roman"/>
          <w:color w:val="000000"/>
        </w:rPr>
        <w:t>6</w:t>
      </w:r>
      <w:r>
        <w:rPr>
          <w:rFonts w:ascii="Times New Roman" w:hAnsi="Times New Roman"/>
          <w:color w:val="000000"/>
        </w:rPr>
        <w:t>. 0</w:t>
      </w:r>
      <w:r>
        <w:rPr>
          <w:rFonts w:ascii="Times New Roman" w:hAnsi="Times New Roman"/>
          <w:color w:val="000000"/>
        </w:rPr>
        <w:t>8</w:t>
      </w:r>
      <w:r>
        <w:rPr>
          <w:rFonts w:ascii="Times New Roman" w:hAnsi="Times New Roman"/>
          <w:color w:val="000000"/>
        </w:rPr>
        <w:t xml:space="preserve">. </w:t>
      </w:r>
    </w:p>
    <w:p>
      <w:pPr>
        <w:pStyle w:val="Normal"/>
        <w:jc w:val="both"/>
        <w:rPr>
          <w:rFonts w:ascii="Times New Roman" w:hAnsi="Times New Roman"/>
          <w:i/>
          <w:i/>
          <w:iCs/>
          <w:color w:val="000000"/>
        </w:rPr>
      </w:pPr>
      <w:r>
        <w:rPr>
          <w:rFonts w:ascii="Times New Roman" w:hAnsi="Times New Roman"/>
          <w:i/>
          <w:iCs/>
          <w:color w:val="000000"/>
        </w:rPr>
      </w:r>
    </w:p>
    <w:p>
      <w:pPr>
        <w:pStyle w:val="Tblzattartalom"/>
        <w:jc w:val="both"/>
        <w:rPr>
          <w:rFonts w:ascii="Liberation Serif" w:hAnsi="Liberation Serif"/>
        </w:rPr>
      </w:pPr>
      <w:r>
        <w:rPr/>
      </w:r>
    </w:p>
    <w:p>
      <w:pPr>
        <w:pStyle w:val="Tblzattartalom"/>
        <w:bidi w:val="0"/>
        <w:jc w:val="both"/>
        <w:rPr>
          <w:rFonts w:ascii="Times New Roman" w:hAnsi="Times New Roman"/>
          <w:b w:val="false"/>
          <w:bCs w:val="false"/>
          <w:i/>
          <w:i/>
          <w:iCs/>
          <w:color w:val="000000"/>
          <w:sz w:val="24"/>
          <w:szCs w:val="24"/>
        </w:rPr>
      </w:pPr>
      <w:r>
        <w:rPr>
          <w:rFonts w:ascii="Times New Roman" w:hAnsi="Times New Roman"/>
          <w:b w:val="false"/>
          <w:bCs w:val="false"/>
          <w:i/>
          <w:iCs/>
          <w:caps w:val="false"/>
          <w:smallCaps w:val="false"/>
          <w:color w:val="000000"/>
          <w:spacing w:val="0"/>
          <w:sz w:val="24"/>
          <w:szCs w:val="24"/>
        </w:rPr>
        <w:t>(az adatok frissítése a változást követően azonnal, az előző 1 évig archívumban tartásával)</w:t>
      </w:r>
    </w:p>
    <w:p>
      <w:pPr>
        <w:pStyle w:val="Normal"/>
        <w:bidi w:val="0"/>
        <w:spacing w:before="0" w:after="283"/>
        <w:jc w:val="both"/>
        <w:rPr>
          <w:rFonts w:ascii="Times New Roman" w:hAnsi="Times New Roman"/>
        </w:rPr>
      </w:pPr>
      <w:r>
        <w:rPr/>
      </w:r>
    </w:p>
    <w:p>
      <w:pPr>
        <w:pStyle w:val="Tblzattartalom"/>
        <w:bidi w:val="0"/>
        <w:jc w:val="both"/>
        <w:rPr>
          <w:rFonts w:ascii="Times New Roman" w:hAnsi="Times New Roman"/>
          <w:b w:val="false"/>
          <w:bCs w:val="false"/>
          <w:i/>
          <w:i/>
          <w:iCs/>
          <w:color w:val="000000"/>
          <w:sz w:val="24"/>
          <w:szCs w:val="24"/>
        </w:rPr>
      </w:pPr>
      <w:r>
        <w:rPr/>
      </w:r>
    </w:p>
    <w:sectPr>
      <w:type w:val="nextPage"/>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Liberation Sans">
    <w:altName w:val="Arial"/>
    <w:charset w:val="ee"/>
    <w:family w:val="roman"/>
    <w:pitch w:val="variable"/>
  </w:font>
  <w:font w:name="Times New Roman">
    <w:charset w:val="ee"/>
    <w:family w:val="roman"/>
    <w:pitch w:val="variable"/>
  </w:font>
</w:fonts>
</file>

<file path=word/settings.xml><?xml version="1.0" encoding="utf-8"?>
<w:settings xmlns:w="http://schemas.openxmlformats.org/wordprocessingml/2006/main">
  <w:zoom w:percent="120"/>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hu-HU" w:eastAsia="zh-CN" w:bidi="hi-IN"/>
      </w:rPr>
    </w:rPrDefault>
    <w:pPrDefault>
      <w:pPr>
        <w:suppressAutoHyphens w:val="true"/>
      </w:pPr>
    </w:pPrDefault>
  </w:docDefaults>
  <w:style w:type="paragraph" w:styleId="Normal">
    <w:name w:val="Normal"/>
    <w:qFormat/>
    <w:pPr>
      <w:widowControl/>
      <w:suppressAutoHyphens w:val="true"/>
      <w:overflowPunct w:val="false"/>
      <w:bidi w:val="0"/>
      <w:spacing w:before="0" w:after="0"/>
      <w:jc w:val="left"/>
    </w:pPr>
    <w:rPr>
      <w:rFonts w:ascii="Liberation Serif" w:hAnsi="Liberation Serif" w:eastAsia="NSimSun" w:cs="Arial"/>
      <w:color w:val="auto"/>
      <w:kern w:val="2"/>
      <w:sz w:val="24"/>
      <w:szCs w:val="24"/>
      <w:lang w:val="hu-HU" w:eastAsia="zh-CN" w:bidi="hi-IN"/>
    </w:rPr>
  </w:style>
  <w:style w:type="character" w:styleId="Internet-hivatkozs">
    <w:name w:val="Hyperlink"/>
    <w:rPr>
      <w:color w:val="000080"/>
      <w:u w:val="single"/>
    </w:rPr>
  </w:style>
  <w:style w:type="character" w:styleId="Strong">
    <w:name w:val="Strong"/>
    <w:qFormat/>
    <w:rPr>
      <w:b/>
      <w:bCs/>
    </w:rPr>
  </w:style>
  <w:style w:type="character" w:styleId="DefaultParagraphFont">
    <w:name w:val="Default Paragraph Font"/>
    <w:qFormat/>
    <w:rPr/>
  </w:style>
  <w:style w:type="paragraph" w:styleId="Cmsor">
    <w:name w:val="Címsor"/>
    <w:basedOn w:val="Normal"/>
    <w:next w:val="Szvegtrzs"/>
    <w:qFormat/>
    <w:pPr>
      <w:keepNext w:val="true"/>
      <w:spacing w:before="240" w:after="120"/>
    </w:pPr>
    <w:rPr>
      <w:rFonts w:ascii="Liberation Sans" w:hAnsi="Liberation Sans" w:eastAsia="Microsoft YaHei" w:cs="Arial"/>
      <w:sz w:val="28"/>
      <w:szCs w:val="28"/>
    </w:rPr>
  </w:style>
  <w:style w:type="paragraph" w:styleId="Szvegtrzs">
    <w:name w:val="Body Text"/>
    <w:basedOn w:val="Normal"/>
    <w:pPr>
      <w:spacing w:lineRule="auto" w:line="276" w:before="0" w:after="140"/>
    </w:pPr>
    <w:rPr/>
  </w:style>
  <w:style w:type="paragraph" w:styleId="Lista">
    <w:name w:val="List"/>
    <w:basedOn w:val="Szvegtrzs"/>
    <w:pPr/>
    <w:rPr>
      <w:rFonts w:cs="Arial"/>
    </w:rPr>
  </w:style>
  <w:style w:type="paragraph" w:styleId="Felirat">
    <w:name w:val="Caption"/>
    <w:basedOn w:val="Normal"/>
    <w:qFormat/>
    <w:pPr>
      <w:suppressLineNumbers/>
      <w:spacing w:before="120" w:after="120"/>
    </w:pPr>
    <w:rPr>
      <w:rFonts w:cs="Arial"/>
      <w:i/>
      <w:iCs/>
      <w:sz w:val="24"/>
      <w:szCs w:val="24"/>
    </w:rPr>
  </w:style>
  <w:style w:type="paragraph" w:styleId="Trgymutat">
    <w:name w:val="Tárgymutató"/>
    <w:basedOn w:val="Normal"/>
    <w:qFormat/>
    <w:pPr>
      <w:suppressLineNumbers/>
    </w:pPr>
    <w:rPr>
      <w:rFonts w:cs="Arial"/>
    </w:rPr>
  </w:style>
  <w:style w:type="paragraph" w:styleId="Tblzattartalom">
    <w:name w:val="Táblázattartalom"/>
    <w:basedOn w:val="Normal"/>
    <w:qFormat/>
    <w:pPr>
      <w:widowControl w:val="false"/>
      <w:suppressLineNumbers/>
    </w:pPr>
    <w:rPr/>
  </w:style>
  <w:style w:type="paragraph" w:styleId="Tblzatfejlc">
    <w:name w:val="Táblázatfejléc"/>
    <w:basedOn w:val="Tblzattartalom"/>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149</TotalTime>
  <Application>LibreOffice/7.5.1.2$Windows_X86_64 LibreOffice_project/fcbaee479e84c6cd81291587d2ee68cba099e129</Application>
  <AppVersion>15.0000</AppVersion>
  <Pages>4</Pages>
  <Words>782</Words>
  <Characters>5845</Characters>
  <CharactersWithSpaces>6552</CharactersWithSpaces>
  <Paragraphs>85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hu-HU</dc:language>
  <cp:lastModifiedBy/>
  <dcterms:modified xsi:type="dcterms:W3CDTF">2026-06-06T19:30:47Z</dcterms:modified>
  <cp:revision>13</cp:revision>
  <dc:subject/>
  <dc:title/>
</cp:coreProperties>
</file>

<file path=docProps/custom.xml><?xml version="1.0" encoding="utf-8"?>
<Properties xmlns="http://schemas.openxmlformats.org/officeDocument/2006/custom-properties" xmlns:vt="http://schemas.openxmlformats.org/officeDocument/2006/docPropsVTypes"/>
</file>